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ageBreakBefore w:val="1"/>
        <w:jc w:val="both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Normal.0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</w:rPr>
        <w:t>Szanowna Pani Pos</w:t>
      </w:r>
      <w:r>
        <w:rPr>
          <w:b w:val="1"/>
          <w:bCs w:val="1"/>
          <w:i w:val="1"/>
          <w:iCs w:val="1"/>
          <w:sz w:val="32"/>
          <w:szCs w:val="32"/>
          <w:rtl w:val="0"/>
        </w:rPr>
        <w:t>ł</w:t>
      </w:r>
      <w:r>
        <w:rPr>
          <w:b w:val="1"/>
          <w:bCs w:val="1"/>
          <w:i w:val="1"/>
          <w:iCs w:val="1"/>
          <w:sz w:val="32"/>
          <w:szCs w:val="32"/>
          <w:rtl w:val="0"/>
        </w:rPr>
        <w:t>anko</w:t>
      </w:r>
    </w:p>
    <w:p>
      <w:pPr>
        <w:pStyle w:val="Normal.0"/>
      </w:pPr>
      <w:r>
        <w:rPr>
          <w:b w:val="1"/>
          <w:bCs w:val="1"/>
          <w:i w:val="1"/>
          <w:iCs w:val="1"/>
          <w:sz w:val="32"/>
          <w:szCs w:val="32"/>
          <w:rtl w:val="0"/>
        </w:rPr>
        <w:t>Szanowny Panie Po</w:t>
      </w:r>
      <w:r>
        <w:rPr>
          <w:b w:val="1"/>
          <w:bCs w:val="1"/>
          <w:i w:val="1"/>
          <w:iCs w:val="1"/>
          <w:sz w:val="32"/>
          <w:szCs w:val="32"/>
          <w:rtl w:val="0"/>
        </w:rPr>
        <w:t>ś</w:t>
      </w:r>
      <w:r>
        <w:rPr>
          <w:b w:val="1"/>
          <w:bCs w:val="1"/>
          <w:i w:val="1"/>
          <w:iCs w:val="1"/>
          <w:sz w:val="32"/>
          <w:szCs w:val="32"/>
          <w:rtl w:val="0"/>
        </w:rPr>
        <w:t>le</w:t>
      </w:r>
    </w:p>
    <w:p>
      <w:pPr>
        <w:pStyle w:val="Normal.0"/>
      </w:pPr>
    </w:p>
    <w:p>
      <w:pPr>
        <w:pStyle w:val="Normal.0"/>
        <w:jc w:val="both"/>
      </w:pPr>
      <w:r>
        <w:rPr>
          <w:rStyle w:val="Domyślna czcionka akapitu1"/>
          <w:rtl w:val="0"/>
        </w:rPr>
        <w:t>Ju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wkr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tce, mamy tak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nadziej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, nowy demokratyczny parlament przyst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pi do wype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niania jednej z wyborczych obietnic zawartych i w dokumentach programowych Koalicji Obywatelskiej oraz Lewicy, jak 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wnie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w podpisanej w dniu 11 listopada 2023 r. umowie koalicyjnej tworz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nowy 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demokratycznych ugrupowa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A obiecali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cie nam wprowadzenie rozwi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przywracaj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prawa nabyte emeryt</w:t>
      </w:r>
      <w:r>
        <w:rPr>
          <w:rtl w:val="0"/>
          <w:lang w:val="es-ES_tradnl"/>
        </w:rPr>
        <w:t>ó</w:t>
      </w:r>
      <w:r>
        <w:rPr>
          <w:rStyle w:val="Domyślna czcionka akapitu1"/>
          <w:rtl w:val="0"/>
        </w:rPr>
        <w:t>w pobieraj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cych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wiadczenia na podstawie przepis</w:t>
      </w:r>
      <w:r>
        <w:rPr>
          <w:rtl w:val="0"/>
          <w:lang w:val="es-ES_tradnl"/>
        </w:rPr>
        <w:t>ó</w:t>
      </w:r>
      <w:r>
        <w:rPr>
          <w:rStyle w:val="Domyślna czcionka akapitu1"/>
          <w:rtl w:val="0"/>
        </w:rPr>
        <w:t>w o zaopatrzeniu emerytalnym funkcjonariuszy,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to obietnic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rozumiemy jako przywr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cenie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bez jakichkolwiek, dyskryminuj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nas przepis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w.  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eby wspom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c w jaki</w:t>
      </w:r>
      <w:r>
        <w:rPr>
          <w:rStyle w:val="Domyślna czcionka akapitu1"/>
          <w:rtl w:val="0"/>
        </w:rPr>
        <w:t xml:space="preserve">ś </w:t>
      </w:r>
      <w:r>
        <w:rPr>
          <w:rStyle w:val="Domyślna czcionka akapitu1"/>
          <w:rtl w:val="0"/>
          <w:lang w:val="it-IT"/>
        </w:rPr>
        <w:t>spos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b Pani (Pana) wysi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ki, nieformalna grupa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ych pokrzywdzonych przez ustawy z 2009 i 2016 roku przygotowa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</w:t>
      </w:r>
      <w:r>
        <w:rPr>
          <w:rStyle w:val="Domyślna czcionka akapitu1"/>
          <w:rtl w:val="0"/>
        </w:rPr>
        <w:t xml:space="preserve"> niniejsze opracowanie, </w:t>
      </w:r>
      <w:r>
        <w:rPr>
          <w:rStyle w:val="Domyślna czcionka akapitu1"/>
          <w:rtl w:val="0"/>
        </w:rPr>
        <w:t>opracowanie, pod kt</w:t>
      </w:r>
      <w:r>
        <w:rPr>
          <w:rStyle w:val="Domyślna czcionka akapitu1"/>
          <w:rtl w:val="0"/>
        </w:rPr>
        <w:t>ó</w:t>
      </w:r>
      <w:r>
        <w:rPr>
          <w:rStyle w:val="Domyślna czcionka akapitu1"/>
          <w:rtl w:val="0"/>
        </w:rPr>
        <w:t>rym w ca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podpisuj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, a </w:t>
      </w:r>
      <w:r>
        <w:rPr>
          <w:rStyle w:val="Domyślna czcionka akapitu1"/>
          <w:rtl w:val="0"/>
        </w:rPr>
        <w:t>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 powinno u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atwi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Pani (Panu) prac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nad realizacja tej obietnicy.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Łą</w:t>
      </w:r>
      <w:r>
        <w:rPr>
          <w:b w:val="1"/>
          <w:bCs w:val="1"/>
          <w:i w:val="1"/>
          <w:iCs w:val="1"/>
          <w:rtl w:val="0"/>
        </w:rPr>
        <w:t>cz</w:t>
      </w:r>
      <w:r>
        <w:rPr>
          <w:b w:val="1"/>
          <w:bCs w:val="1"/>
          <w:i w:val="1"/>
          <w:iCs w:val="1"/>
          <w:rtl w:val="0"/>
        </w:rPr>
        <w:t>ę</w:t>
      </w:r>
      <w:r>
        <w:rPr>
          <w:b w:val="1"/>
          <w:bCs w:val="1"/>
          <w:i w:val="1"/>
          <w:iCs w:val="1"/>
          <w:rtl w:val="0"/>
        </w:rPr>
        <w:t xml:space="preserve"> wyrazy szacunku</w:t>
      </w:r>
    </w:p>
    <w:p>
      <w:pPr>
        <w:pStyle w:val="Normal.0"/>
        <w:jc w:val="both"/>
        <w:rPr>
          <w:b w:val="1"/>
          <w:bCs w:val="1"/>
          <w:i w:val="1"/>
          <w:iCs w:val="1"/>
        </w:rPr>
      </w:pPr>
    </w:p>
    <w:p>
      <w:pPr>
        <w:pStyle w:val="Normal.0"/>
        <w:jc w:val="both"/>
        <w:rPr>
          <w:outline w:val="0"/>
          <w:color w:val="bd6427"/>
          <w14:textFill>
            <w14:solidFill>
              <w14:srgbClr w14:val="BE6427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bd6427"/>
          <w:rtl w:val="0"/>
          <w14:textFill>
            <w14:solidFill>
              <w14:srgbClr w14:val="BE6427"/>
            </w14:solidFill>
          </w14:textFill>
        </w:rPr>
        <w:t>- Twoje imi</w:t>
      </w:r>
      <w:r>
        <w:rPr>
          <w:b w:val="1"/>
          <w:bCs w:val="1"/>
          <w:i w:val="1"/>
          <w:iCs w:val="1"/>
          <w:outline w:val="0"/>
          <w:color w:val="bd6427"/>
          <w:rtl w:val="0"/>
          <w14:textFill>
            <w14:solidFill>
              <w14:srgbClr w14:val="BE6427"/>
            </w14:solidFill>
          </w14:textFill>
        </w:rPr>
        <w:t xml:space="preserve">ę </w:t>
      </w:r>
      <w:r>
        <w:rPr>
          <w:b w:val="1"/>
          <w:bCs w:val="1"/>
          <w:i w:val="1"/>
          <w:iCs w:val="1"/>
          <w:outline w:val="0"/>
          <w:color w:val="bd6427"/>
          <w:rtl w:val="0"/>
          <w14:textFill>
            <w14:solidFill>
              <w14:srgbClr w14:val="BE6427"/>
            </w14:solidFill>
          </w14:textFill>
        </w:rPr>
        <w:t>i nazwisko, adres -</w:t>
      </w:r>
    </w:p>
    <w:p>
      <w:pPr>
        <w:pStyle w:val="Normal.0"/>
        <w:jc w:val="both"/>
      </w:pPr>
    </w:p>
    <w:p>
      <w:pPr>
        <w:pStyle w:val="Normal.0"/>
        <w:jc w:val="right"/>
      </w:pPr>
    </w:p>
    <w:p>
      <w:pPr>
        <w:pStyle w:val="Normal.0"/>
        <w:jc w:val="both"/>
        <w:rPr>
          <w:b w:val="1"/>
          <w:bCs w:val="1"/>
          <w:sz w:val="28"/>
          <w:szCs w:val="28"/>
          <w:u w:val="single"/>
        </w:rPr>
      </w:pPr>
      <w:r>
        <w:rPr>
          <w:rStyle w:val="Domyślna czcionka akapitu1"/>
          <w:rtl w:val="0"/>
        </w:rPr>
        <w:t>***</w:t>
      </w:r>
    </w:p>
    <w:p>
      <w:pPr>
        <w:pStyle w:val="Normal.0"/>
        <w:jc w:val="both"/>
        <w:rPr>
          <w:b w:val="1"/>
          <w:bCs w:val="1"/>
          <w:sz w:val="30"/>
          <w:szCs w:val="30"/>
        </w:rPr>
      </w:pPr>
      <w:r>
        <w:rPr>
          <w:b w:val="1"/>
          <w:bCs w:val="1"/>
          <w:sz w:val="28"/>
          <w:szCs w:val="28"/>
          <w:u w:val="single"/>
          <w:rtl w:val="0"/>
        </w:rPr>
        <w:t>Tematyka dotycz</w:t>
      </w:r>
      <w:r>
        <w:rPr>
          <w:b w:val="1"/>
          <w:bCs w:val="1"/>
          <w:sz w:val="28"/>
          <w:szCs w:val="28"/>
          <w:u w:val="single"/>
          <w:rtl w:val="0"/>
        </w:rPr>
        <w:t>ą</w:t>
      </w:r>
      <w:r>
        <w:rPr>
          <w:b w:val="1"/>
          <w:bCs w:val="1"/>
          <w:sz w:val="28"/>
          <w:szCs w:val="28"/>
          <w:u w:val="single"/>
          <w:rtl w:val="0"/>
        </w:rPr>
        <w:t>ca zabranych znacznych cz</w:t>
      </w:r>
      <w:r>
        <w:rPr>
          <w:b w:val="1"/>
          <w:bCs w:val="1"/>
          <w:sz w:val="28"/>
          <w:szCs w:val="28"/>
          <w:u w:val="single"/>
          <w:rtl w:val="0"/>
        </w:rPr>
        <w:t>ęś</w:t>
      </w:r>
      <w:r>
        <w:rPr>
          <w:b w:val="1"/>
          <w:bCs w:val="1"/>
          <w:sz w:val="28"/>
          <w:szCs w:val="28"/>
          <w:u w:val="single"/>
          <w:rtl w:val="0"/>
        </w:rPr>
        <w:t xml:space="preserve">ci rent i emerytur funkcjonariuszy i </w:t>
      </w:r>
      <w:r>
        <w:rPr>
          <w:b w:val="1"/>
          <w:bCs w:val="1"/>
          <w:sz w:val="28"/>
          <w:szCs w:val="28"/>
          <w:u w:val="single"/>
          <w:rtl w:val="0"/>
        </w:rPr>
        <w:t>ż</w:t>
      </w:r>
      <w:r>
        <w:rPr>
          <w:b w:val="1"/>
          <w:bCs w:val="1"/>
          <w:sz w:val="28"/>
          <w:szCs w:val="28"/>
          <w:u w:val="single"/>
          <w:rtl w:val="0"/>
        </w:rPr>
        <w:t>o</w:t>
      </w:r>
      <w:r>
        <w:rPr>
          <w:b w:val="1"/>
          <w:bCs w:val="1"/>
          <w:sz w:val="28"/>
          <w:szCs w:val="28"/>
          <w:u w:val="single"/>
          <w:rtl w:val="0"/>
        </w:rPr>
        <w:t>ł</w:t>
      </w:r>
      <w:r>
        <w:rPr>
          <w:b w:val="1"/>
          <w:bCs w:val="1"/>
          <w:sz w:val="28"/>
          <w:szCs w:val="28"/>
          <w:u w:val="single"/>
          <w:rtl w:val="0"/>
        </w:rPr>
        <w:t>nierzy slu</w:t>
      </w:r>
      <w:r>
        <w:rPr>
          <w:b w:val="1"/>
          <w:bCs w:val="1"/>
          <w:sz w:val="28"/>
          <w:szCs w:val="28"/>
          <w:u w:val="single"/>
          <w:rtl w:val="0"/>
        </w:rPr>
        <w:t>ż</w:t>
      </w:r>
      <w:r>
        <w:rPr>
          <w:b w:val="1"/>
          <w:bCs w:val="1"/>
          <w:sz w:val="28"/>
          <w:szCs w:val="28"/>
          <w:u w:val="single"/>
          <w:rtl w:val="0"/>
        </w:rPr>
        <w:t>b mundurowych oraz innych zagadnie</w:t>
      </w:r>
      <w:r>
        <w:rPr>
          <w:b w:val="1"/>
          <w:bCs w:val="1"/>
          <w:sz w:val="28"/>
          <w:szCs w:val="28"/>
          <w:u w:val="single"/>
          <w:rtl w:val="0"/>
        </w:rPr>
        <w:t xml:space="preserve">ń </w:t>
      </w:r>
      <w:r>
        <w:rPr>
          <w:b w:val="1"/>
          <w:bCs w:val="1"/>
          <w:sz w:val="28"/>
          <w:szCs w:val="28"/>
          <w:u w:val="single"/>
          <w:rtl w:val="0"/>
        </w:rPr>
        <w:t>zwi</w:t>
      </w:r>
      <w:r>
        <w:rPr>
          <w:b w:val="1"/>
          <w:bCs w:val="1"/>
          <w:sz w:val="28"/>
          <w:szCs w:val="28"/>
          <w:u w:val="single"/>
          <w:rtl w:val="0"/>
        </w:rPr>
        <w:t>ą</w:t>
      </w:r>
      <w:r>
        <w:rPr>
          <w:b w:val="1"/>
          <w:bCs w:val="1"/>
          <w:sz w:val="28"/>
          <w:szCs w:val="28"/>
          <w:u w:val="single"/>
          <w:rtl w:val="0"/>
        </w:rPr>
        <w:t xml:space="preserve">zanych z tym </w:t>
      </w:r>
      <w:r>
        <w:rPr>
          <w:b w:val="1"/>
          <w:bCs w:val="1"/>
          <w:sz w:val="28"/>
          <w:szCs w:val="28"/>
          <w:u w:val="single"/>
          <w:rtl w:val="0"/>
        </w:rPr>
        <w:t>ś</w:t>
      </w:r>
      <w:r>
        <w:rPr>
          <w:b w:val="1"/>
          <w:bCs w:val="1"/>
          <w:sz w:val="28"/>
          <w:szCs w:val="28"/>
          <w:u w:val="single"/>
          <w:rtl w:val="0"/>
        </w:rPr>
        <w:t>rodowiskiem.</w:t>
      </w: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Nowelizacje policyjnej ustawy zaopatrzeniowej w latach 2009 i 2016.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75b9"/>
          <w:u w:color="0075b9"/>
          <w14:textFill>
            <w14:solidFill>
              <w14:srgbClr w14:val="0075B9"/>
            </w14:solidFill>
          </w14:textFill>
        </w:rPr>
      </w:pPr>
      <w:r>
        <w:rPr>
          <w:rStyle w:val="Domyślna czcionka akapitu1"/>
          <w:rtl w:val="0"/>
        </w:rPr>
        <w:t>Obydwie ustawy nosz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znamiona kodyfikacji stanowi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cej o odpowiedzialno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zbiorowej. Nie dotycz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 zasadzie 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-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nierzy MON (poza niewieloma wyj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tkami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ustawa dotycz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ca wojska nie 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zmieniona).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75b9"/>
          <w:u w:color="0075b9"/>
          <w14:textFill>
            <w14:solidFill>
              <w14:srgbClr w14:val="0075B9"/>
            </w14:solidFill>
          </w14:textFill>
        </w:rPr>
      </w:pPr>
    </w:p>
    <w:p>
      <w:pPr>
        <w:pStyle w:val="Normal.0"/>
        <w:jc w:val="both"/>
      </w:pPr>
      <w:r>
        <w:rPr>
          <w:b w:val="1"/>
          <w:bCs w:val="1"/>
          <w:sz w:val="28"/>
          <w:szCs w:val="28"/>
          <w:u w:val="single"/>
          <w:rtl w:val="0"/>
        </w:rPr>
        <w:t>Ustawa z 2009 roku:</w:t>
      </w:r>
    </w:p>
    <w:p>
      <w:pPr>
        <w:pStyle w:val="Normal.0"/>
        <w:jc w:val="both"/>
        <w:rPr>
          <w:b w:val="1"/>
          <w:bCs w:val="1"/>
        </w:rPr>
      </w:pPr>
      <w:r>
        <w:rPr>
          <w:rStyle w:val="Domyślna czcionka akapitu1"/>
          <w:rtl w:val="0"/>
        </w:rPr>
        <w:t>autorstwo Platforma Obywatelska; zmniejszy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przelicznik emerytalny dla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mundurowych z 2,6% na 0,7% za ka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dy przepracowany rok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by w organach bezpiecze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stwa pa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stwa przed 1990 rokiem</w:t>
      </w:r>
      <w:r>
        <w:rPr>
          <w:rStyle w:val="Domyślna czcionka akapitu1"/>
          <w:rtl w:val="0"/>
        </w:rPr>
        <w:t>; TK swoim wyrokiem z 2010  uzna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ustaw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za zgodn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z konstytucj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; ETPCz wyroku nie wyda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bo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spraw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 og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le nie zaj</w:t>
      </w:r>
      <w:r>
        <w:rPr>
          <w:rStyle w:val="Domyślna czcionka akapitu1"/>
          <w:rtl w:val="0"/>
        </w:rPr>
        <w:t>ął</w:t>
      </w:r>
      <w:r>
        <w:rPr>
          <w:rStyle w:val="Domyślna czcionka akapitu1"/>
          <w:rtl w:val="0"/>
        </w:rPr>
        <w:t>; wielu pos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</w:rPr>
        <w:t>w PO, w tym Siemoniak, uwa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t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ustaw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za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uszn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; tematem tej ustawy Platforma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 xml:space="preserve">w tym Donald Tusk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nie zajmuje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konkretnie, do dzi</w:t>
      </w:r>
      <w:r>
        <w:rPr>
          <w:rStyle w:val="Domyślna czcionka akapitu1"/>
          <w:rtl w:val="0"/>
        </w:rPr>
        <w:t xml:space="preserve">ś </w:t>
      </w:r>
      <w:r>
        <w:rPr>
          <w:rStyle w:val="Domyślna czcionka akapitu1"/>
          <w:rtl w:val="0"/>
        </w:rPr>
        <w:t>uwa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c,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wyrok wydany w 2010 przez TK (uznaj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 ustaw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za zgodn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z konstytucj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) za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atwia spraw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. Ustawa z 2009 roku w por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wnaniu do ustawy z 2016 roku pozbawi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jej adresat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b mundurowych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blisko trzech czwartych ich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wiadcze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Domyślna czcionka akapitu1"/>
          <w:rtl w:val="0"/>
        </w:rPr>
        <w:t>. Ustawa 2009 nie obj</w:t>
      </w:r>
      <w:r>
        <w:rPr>
          <w:rStyle w:val="Domyślna czcionka akapitu1"/>
          <w:rtl w:val="0"/>
        </w:rPr>
        <w:t>ęł</w:t>
      </w:r>
      <w:r>
        <w:rPr>
          <w:rStyle w:val="Domyślna czcionka akapitu1"/>
          <w:rtl w:val="0"/>
        </w:rPr>
        <w:t>a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mundurowych,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znajdowali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tzw. Zbiorze Zastrze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onym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w tym czasie w owym zbiorze znajdowa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ju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 xml:space="preserve">tylko (raczej) byli pracownicy wywiadu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poprzednio by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i kontrwywiad.</w:t>
      </w: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Na dzi</w:t>
      </w:r>
      <w:r>
        <w:rPr>
          <w:b w:val="1"/>
          <w:bCs w:val="1"/>
          <w:rtl w:val="0"/>
        </w:rPr>
        <w:t xml:space="preserve">ś </w:t>
      </w:r>
      <w:r>
        <w:rPr>
          <w:b w:val="1"/>
          <w:bCs w:val="1"/>
          <w:rtl w:val="0"/>
        </w:rPr>
        <w:t>o zmianie ustawy z 2009 roku nikt nic istotnego nie m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wi.</w:t>
      </w:r>
      <w:r>
        <w:rPr>
          <w:rStyle w:val="Domyślna czcionka akapitu1"/>
          <w:rtl w:val="0"/>
        </w:rPr>
        <w:t xml:space="preserve"> Wielu dopatruje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jedynie nawi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zywania do niej w wyst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pieniach Donalda Tuska podczas kampanii wyborczej 2023.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Body Text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Dane uszczeg</w:t>
      </w:r>
      <w:r>
        <w:rPr>
          <w:b w:val="1"/>
          <w:bCs w:val="1"/>
          <w:rtl w:val="0"/>
        </w:rPr>
        <w:t>ół</w:t>
      </w:r>
      <w:r>
        <w:rPr>
          <w:b w:val="1"/>
          <w:bCs w:val="1"/>
          <w:rtl w:val="0"/>
        </w:rPr>
        <w:t>awiaj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 xml:space="preserve">ce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Trybuna</w:t>
      </w:r>
      <w:r>
        <w:rPr>
          <w:b w:val="1"/>
          <w:bCs w:val="1"/>
          <w:rtl w:val="0"/>
        </w:rPr>
        <w:t xml:space="preserve">ł </w:t>
      </w:r>
      <w:r>
        <w:rPr>
          <w:b w:val="1"/>
          <w:bCs w:val="1"/>
          <w:rtl w:val="0"/>
        </w:rPr>
        <w:t>Konstytucyjny, ETPCz,</w:t>
      </w:r>
    </w:p>
    <w:p>
      <w:pPr>
        <w:pStyle w:val="Normal.0"/>
        <w:jc w:val="both"/>
      </w:pPr>
      <w:r>
        <w:rPr>
          <w:b w:val="1"/>
          <w:bCs w:val="1"/>
          <w:rtl w:val="0"/>
        </w:rPr>
        <w:t>Z wyroku Trybuna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u Konstytucyjnego (fragmenty)</w:t>
      </w:r>
    </w:p>
    <w:p>
      <w:pPr>
        <w:pStyle w:val="Normal.0"/>
      </w:pPr>
      <w:r>
        <w:rPr>
          <w:rStyle w:val="Domyślna czcionka akapitu1"/>
          <w:rtl w:val="0"/>
        </w:rPr>
        <w:t>z dnia 24 lutego 2010 r. Sygn. akt K 6/09*</w:t>
      </w:r>
      <w:r>
        <w:rPr>
          <w:rStyle w:val="Domyślna czcionka akapitu1"/>
        </w:rPr>
        <w:br w:type="textWrapping"/>
      </w:r>
      <w:r>
        <w:rPr>
          <w:rStyle w:val="Domyślna czcionka akapitu1"/>
          <w:rtl w:val="0"/>
        </w:rPr>
        <w:t>(Sentencja 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og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oszona dnia 10 marca 2010 r. w Dz. U. Nr 36, poz. 204.</w:t>
      </w:r>
      <w:r>
        <w:rPr>
          <w:rStyle w:val="Domyślna czcionka akapitu1"/>
        </w:rPr>
        <w:br w:type="textWrapping"/>
      </w:r>
      <w:r>
        <w:rPr>
          <w:rStyle w:val="Domyślna czcionka akapitu1"/>
          <w:rtl w:val="0"/>
          <w:lang w:val="de-DE"/>
        </w:rPr>
        <w:t>ZER-AM-0602/541/10).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"https://www.saos.org.pl/judgments/109664#_blank"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https://www.saos.org.pl/judgments/109664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u w:val="single"/>
          <w:rtl w:val="0"/>
        </w:rPr>
        <w:t>Fragmenty z uzasadnienia</w:t>
      </w:r>
      <w:r>
        <w:rPr>
          <w:rStyle w:val="Domyślna czcionka akapitu1"/>
          <w:rtl w:val="0"/>
        </w:rPr>
        <w:t>: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8.7.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Z informacji, jakie Trybuna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otrzyma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tak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 od dyrektora ZER MSWiA sygn. ZER-AM-0602/541/10) wynika,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po zastosowaniu ustawy z 23 stycznia 2009 r. przeci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tna wysoko</w:t>
      </w:r>
      <w:r>
        <w:rPr>
          <w:rStyle w:val="Domyślna czcionka akapitu1"/>
          <w:rtl w:val="0"/>
        </w:rPr>
        <w:t xml:space="preserve">ść </w:t>
      </w:r>
      <w:r>
        <w:rPr>
          <w:rStyle w:val="Domyślna czcionka akapitu1"/>
          <w:rtl w:val="0"/>
        </w:rPr>
        <w:t>emerytury w grupie funkcjonariuszy organ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Polski Ludowej wynosi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w</w:t>
      </w:r>
      <w:r>
        <w:rPr>
          <w:b w:val="1"/>
          <w:bCs w:val="1"/>
          <w:rtl w:val="0"/>
        </w:rPr>
        <w:t xml:space="preserve"> styczniu 2010 r. 2558,82 z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8.7.2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Przedstawione dane maj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istotne znaczenie dla konstytucyjnej oceny analizowanego zarzutu wnioskodawc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w. W lutym 2010 r. przeci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tna emerytura funkcjonariuszy organ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Polski Ludowej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sza od dotychczasowej o 346 z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i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w dalszym ci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gu 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sza o 58% od przeci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tnej emerytury w powszechnym systemie emerytalnym oraz 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sza prawie cztery razy od najni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szej emerytury z FUS. Tylko w korpusie szeregowych funkcjonariuszy,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pe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nili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organach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Polski Ludowej, przeci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tna emerytura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w styczniu 2010 r. nieco 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sza (1499,64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) od przeci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tnej emerytury w powszechnym systemie ubezpiecze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spo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ecznych. Jak wiadomo jednak specyfik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ka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dej policji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 xml:space="preserve">stwa jest to,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liczbowo dominuj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 niej funkcjonariusze korpusu oficer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w. W korpusie oficer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m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odszych emerytura funkcjonariuszy organ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Polski Ludowej wynosi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w styczniu 2010 r. 2102,12 z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(poprzednio 2670,93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); w korpusie oficer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starszych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3479,67 z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(4156,21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) oraz w korpusie genera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</w:rPr>
        <w:t xml:space="preserve">w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8598,43 z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(9578,41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). Zgodnie z pismem dyrektora ZER MSWiA z 5 lutego 2010 r.:</w:t>
      </w:r>
      <w:r>
        <w:rPr>
          <w:rStyle w:val="Domyślna czcionka akapitu1"/>
          <w:rtl w:val="0"/>
        </w:rPr>
        <w:br w:type="textWrapping"/>
        <w:t>„</w:t>
      </w:r>
      <w:r>
        <w:rPr>
          <w:rStyle w:val="Domyślna czcionka akapitu1"/>
          <w:rtl w:val="0"/>
        </w:rPr>
        <w:t>Po zastosowaniu przepis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ustawy z dnia 23 stycznia 2009 r. wobec funkcjonariuszy,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pe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nili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organach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stwa, o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rych mowa w art. 2 ustawy z dnia 18 pa</w:t>
      </w:r>
      <w:r>
        <w:rPr>
          <w:rStyle w:val="Domyślna czcionka akapitu1"/>
          <w:rtl w:val="0"/>
        </w:rPr>
        <w:t>ź</w:t>
      </w:r>
      <w:r>
        <w:rPr>
          <w:rStyle w:val="Domyślna czcionka akapitu1"/>
          <w:rtl w:val="0"/>
        </w:rPr>
        <w:t xml:space="preserve">dziernika 2006 r.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7227 wyp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acanych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nie uleg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zmianie. Wynika to m. innymi z faktu, i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osoby,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rym ponownie ustalono wysoko</w:t>
      </w:r>
      <w:r>
        <w:rPr>
          <w:rStyle w:val="Domyślna czcionka akapitu1"/>
          <w:rtl w:val="0"/>
        </w:rPr>
        <w:t xml:space="preserve">ść </w:t>
      </w:r>
      <w:r>
        <w:rPr>
          <w:rStyle w:val="Domyślna czcionka akapitu1"/>
          <w:rtl w:val="0"/>
        </w:rPr>
        <w:t>emerytury legitymowa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ugim sta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em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by, co pozwoli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na uwzgl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dnienie dotychczas nie uwzgl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dnionych okres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 podlegaj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zaliczeniu do wys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ugi emerytalnej np.: okres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o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rych mowa w art. 14 ustawy o zaopatrzeniu emerytalnym funkcjonariuszy Policji (...), podwy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szenia emerytury o 15% podstawy wymiaru z tytu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 orzeczonego inwalidztwa pozostaj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cego w zwi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zku ze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  <w:lang w:val="nl-NL"/>
        </w:rPr>
        <w:t>. Nieuwzgl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dnienie tych okres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b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</w:rPr>
        <w:t xml:space="preserve">ź </w:t>
      </w:r>
      <w:r>
        <w:rPr>
          <w:rStyle w:val="Domyślna czcionka akapitu1"/>
          <w:rtl w:val="0"/>
        </w:rPr>
        <w:t>cz</w:t>
      </w:r>
      <w:r>
        <w:rPr>
          <w:rStyle w:val="Domyślna czcionka akapitu1"/>
          <w:rtl w:val="0"/>
        </w:rPr>
        <w:t>ęś</w:t>
      </w:r>
      <w:r>
        <w:rPr>
          <w:rStyle w:val="Domyślna czcionka akapitu1"/>
          <w:rtl w:val="0"/>
        </w:rPr>
        <w:t>ciowe ich uwzgl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dnienie wynika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z art. 18 ust. 1 ustawy o zaopatrzeniu emerytalnym funkcjonariuszy Policji (...), zgodnie z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rym kwota emerytury bez uwzgl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dnienia dodatk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zasi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nie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przekroczy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75% podstawy wymiaru, a w przypadku podwy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szenia emerytury o 15% podstawy wymiaru z tytu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 orzeczonego inwalidztwa pozostaj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cego w zwi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zku ze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ą – </w:t>
      </w:r>
      <w:r>
        <w:rPr>
          <w:rStyle w:val="Domyślna czcionka akapitu1"/>
          <w:rtl w:val="0"/>
        </w:rPr>
        <w:t>80% podstawy wymiaru.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Ponadto cz</w:t>
      </w:r>
      <w:r>
        <w:rPr>
          <w:rStyle w:val="Domyślna czcionka akapitu1"/>
          <w:rtl w:val="0"/>
        </w:rPr>
        <w:t>ęść ś</w:t>
      </w:r>
      <w:r>
        <w:rPr>
          <w:rStyle w:val="Domyślna czcionka akapitu1"/>
          <w:rtl w:val="0"/>
        </w:rPr>
        <w:t>wiadczeniobiorc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uprawnionych jednocze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nie do emerytury i renty inwalidzkiej od 1 stycznia 2010 r. pobiera rent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inwalidzk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ra jest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wiadczeniem korzystniejszym od przeliczonej emerytury</w:t>
      </w:r>
      <w:r>
        <w:rPr>
          <w:rStyle w:val="Domyślna czcionka akapitu1"/>
          <w:rtl w:val="0"/>
        </w:rPr>
        <w:t>”</w:t>
      </w:r>
      <w:r>
        <w:rPr>
          <w:rStyle w:val="Domyślna czcionka akapitu1"/>
          <w:rtl w:val="0"/>
        </w:rPr>
        <w:t>.</w:t>
      </w:r>
      <w:r>
        <w:rPr>
          <w:rStyle w:val="Domyślna czcionka akapitu1"/>
        </w:rPr>
        <w:br w:type="textWrapping"/>
      </w:r>
      <w:r>
        <w:rPr>
          <w:rStyle w:val="Domyślna czcionka akapitu1"/>
          <w:rtl w:val="0"/>
        </w:rPr>
        <w:t xml:space="preserve">Ponadto z pisma tego wynika,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 po dokonaniu weryfikacji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na podstawie przepis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ustawy z 23 stycznia 2009 r. w odniesieniu do 589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emerytalnych konieczne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ich podwy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szenie do kwoty najni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szej emerytury, to jest do 675,10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. </w:t>
      </w:r>
      <w:r>
        <w:rPr>
          <w:b w:val="1"/>
          <w:bCs w:val="1"/>
          <w:rtl w:val="0"/>
          <w:lang w:val="da-DK"/>
        </w:rPr>
        <w:t>Og</w:t>
      </w:r>
      <w:r>
        <w:rPr>
          <w:b w:val="1"/>
          <w:bCs w:val="1"/>
          <w:rtl w:val="0"/>
        </w:rPr>
        <w:t>ół</w:t>
      </w:r>
      <w:r>
        <w:rPr>
          <w:b w:val="1"/>
          <w:bCs w:val="1"/>
          <w:rtl w:val="0"/>
        </w:rPr>
        <w:t>em ZER MSWiA wyda</w:t>
      </w:r>
      <w:r>
        <w:rPr>
          <w:b w:val="1"/>
          <w:bCs w:val="1"/>
          <w:rtl w:val="0"/>
        </w:rPr>
        <w:t xml:space="preserve">ł </w:t>
      </w:r>
      <w:r>
        <w:rPr>
          <w:b w:val="1"/>
          <w:bCs w:val="1"/>
          <w:rtl w:val="0"/>
        </w:rPr>
        <w:t>38563 decyzje o ponownym ustaleniu wysoko</w:t>
      </w:r>
      <w:r>
        <w:rPr>
          <w:b w:val="1"/>
          <w:bCs w:val="1"/>
          <w:rtl w:val="0"/>
        </w:rPr>
        <w:t>ś</w:t>
      </w:r>
      <w:r>
        <w:rPr>
          <w:b w:val="1"/>
          <w:bCs w:val="1"/>
          <w:rtl w:val="0"/>
          <w:lang w:val="it-IT"/>
        </w:rPr>
        <w:t xml:space="preserve">ci </w:t>
      </w:r>
      <w:r>
        <w:rPr>
          <w:b w:val="1"/>
          <w:bCs w:val="1"/>
          <w:rtl w:val="0"/>
        </w:rPr>
        <w:t>ś</w:t>
      </w:r>
      <w:r>
        <w:rPr>
          <w:b w:val="1"/>
          <w:bCs w:val="1"/>
          <w:rtl w:val="0"/>
        </w:rPr>
        <w:t>wiadcze</w:t>
      </w:r>
      <w:r>
        <w:rPr>
          <w:b w:val="1"/>
          <w:bCs w:val="1"/>
          <w:rtl w:val="0"/>
        </w:rPr>
        <w:t xml:space="preserve">ń </w:t>
      </w:r>
      <w:r>
        <w:rPr>
          <w:b w:val="1"/>
          <w:bCs w:val="1"/>
          <w:rtl w:val="0"/>
        </w:rPr>
        <w:t>emerytalnych funkcjonariuszom organ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w bezpiecze</w:t>
      </w:r>
      <w:r>
        <w:rPr>
          <w:b w:val="1"/>
          <w:bCs w:val="1"/>
          <w:rtl w:val="0"/>
        </w:rPr>
        <w:t>ń</w:t>
      </w:r>
      <w:r>
        <w:rPr>
          <w:b w:val="1"/>
          <w:bCs w:val="1"/>
          <w:rtl w:val="0"/>
        </w:rPr>
        <w:t>stwa Polski Ludowej (pismo z 23 lutego 2010 r., sygn. ZER-AM-0602/541/10).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Domyślna czcionka akapitu1"/>
          <w:rtl w:val="0"/>
        </w:rPr>
        <w:t>*</w:t>
      </w:r>
    </w:p>
    <w:p>
      <w:pPr>
        <w:pStyle w:val="Body Text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Z uzasadnienia ETPC z 2010 roku (fragment)</w:t>
      </w:r>
    </w:p>
    <w:p>
      <w:pPr>
        <w:pStyle w:val="Body Text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„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...5. Po upadku komunizmu w Polsce S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ba Bezpiecze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stwa zosta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 rozwi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zana na mocy ustawy z dnia 6 kwietnia 1990 r. o Urz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dzie Ochrony Pa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stwa (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„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Ustawa z 1990 r.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), nowego organu odpowiedzialnego za wywiad i kontrwywiad. W tym czasie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ba Bezpiecze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stwa sk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ada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 si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z oko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30 tys. os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b, w tym oko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24 tys. funkcjonariuszy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Mogli oni zosta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ponownie zatrudnieni przez Urz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 Ochrony Pa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stwa pod warunkiem uzyskania pozytywnego wyniku w post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powaniu kwalifikacyjnym, kt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remu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zosta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poddanych oko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14 tys. oficer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w. Ostatecznie stwierdzono,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e 10 439 os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 mo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e uzyska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ponowne zatrudnienie, a 3 595 zosta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...zweryfikowane negatywnie...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”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b w:val="1"/>
          <w:bCs w:val="1"/>
        </w:rPr>
      </w:pPr>
      <w:r>
        <w:rPr>
          <w:rStyle w:val="Domyślna czcionka akapitu1"/>
          <w:rtl w:val="0"/>
        </w:rPr>
        <w:t>*</w:t>
      </w:r>
    </w:p>
    <w:p>
      <w:pPr>
        <w:pStyle w:val="Normal.0"/>
      </w:pPr>
      <w:r>
        <w:rPr>
          <w:b w:val="1"/>
          <w:bCs w:val="1"/>
          <w:rtl w:val="0"/>
        </w:rPr>
        <w:t>Europejski Trybuna</w:t>
      </w:r>
      <w:r>
        <w:rPr>
          <w:b w:val="1"/>
          <w:bCs w:val="1"/>
          <w:rtl w:val="0"/>
        </w:rPr>
        <w:t xml:space="preserve">ł </w:t>
      </w:r>
      <w:r>
        <w:rPr>
          <w:b w:val="1"/>
          <w:bCs w:val="1"/>
          <w:rtl w:val="0"/>
        </w:rPr>
        <w:t>Praw Cz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owieka (fragmenty)</w:t>
      </w:r>
    </w:p>
    <w:p>
      <w:pPr>
        <w:pStyle w:val="Normal.0"/>
      </w:pPr>
    </w:p>
    <w:p>
      <w:pPr>
        <w:pStyle w:val="Normal.0"/>
      </w:pPr>
      <w:r>
        <w:rPr>
          <w:rStyle w:val="Domyślna czcionka akapitu1"/>
          <w:rtl w:val="0"/>
        </w:rPr>
        <w:t>Orzeczenie  z dnia 14 maja 2013 r. w sprawie Adam Cichopek i inni przeciwko Polsce</w:t>
      </w:r>
    </w:p>
    <w:p>
      <w:pPr>
        <w:pStyle w:val="Normal.0"/>
      </w:pPr>
    </w:p>
    <w:p>
      <w:pPr>
        <w:pStyle w:val="Normal.0"/>
        <w:spacing w:line="205" w:lineRule="atLeast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 dniu 14 maja 2013 r. Europejski Trybuna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Praw Cz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owieka wyda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decyzj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 trybie kontroli wst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pnej (art. 35 Konwencji o ochronie praw cz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owieka i podstawowych wolno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ci), w kt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rej odm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rozpatrzenia skarg Adama Cichopka (nr 15189/10) oraz 1627 innych os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b (by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ych funkcjonariuszy) wniesionych przeciwko Polsce. Skar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cy wnosili o stwierdzenie naruszenia przez Rzeczypospolit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Polsk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szeregu przepis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 Konwencji, w tym przede wszystkim art. 1 Protoko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u nr</w:t>
      </w:r>
    </w:p>
    <w:p>
      <w:pPr>
        <w:pStyle w:val="Normal.0"/>
        <w:spacing w:line="205" w:lineRule="atLeast"/>
        <w:ind w:firstLine="28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05" w:lineRule="atLeast"/>
        <w:jc w:val="both"/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Europejski Trybuna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Praw Cz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owieka na podstawie art. 35 ust. 3 i 4 Konwencji uzna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 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wszystkie skargi s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niedopuszczalne i je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en block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odrzuci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  <w:u w:val="single"/>
        </w:rPr>
      </w:pPr>
      <w:r>
        <w:rPr>
          <w:rStyle w:val="Domyślna czcionka akapitu1"/>
          <w:rtl w:val="0"/>
        </w:rPr>
        <w:t>***</w:t>
      </w:r>
    </w:p>
    <w:p>
      <w:pPr>
        <w:pStyle w:val="Normal.0"/>
        <w:jc w:val="both"/>
      </w:pPr>
      <w:r>
        <w:rPr>
          <w:b w:val="1"/>
          <w:bCs w:val="1"/>
          <w:sz w:val="28"/>
          <w:szCs w:val="28"/>
          <w:u w:val="single"/>
          <w:rtl w:val="0"/>
        </w:rPr>
        <w:t>Ustawa z 2016</w:t>
      </w:r>
      <w:r>
        <w:rPr>
          <w:sz w:val="28"/>
          <w:szCs w:val="28"/>
          <w:u w:val="single"/>
          <w:rtl w:val="0"/>
        </w:rPr>
        <w:t xml:space="preserve"> roku,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autorstwo PiS, ta ustawa przelicznik za wys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lat w formacjach mundurowych (i jej kom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rkach) za lata 1944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1990 zniwelowa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do wielko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 xml:space="preserve">ci 0,0%; poza tym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ograniczy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 maksymaln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wysoko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ść ś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wiadczenia do oko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o </w:t>
      </w:r>
      <w:r>
        <w:rPr>
          <w:rStyle w:val="Domyślna czcionka akapitu1"/>
          <w:rtl w:val="0"/>
        </w:rPr>
        <w:t>1800 z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  <w:lang w:val="it-IT"/>
        </w:rPr>
        <w:t xml:space="preserve">netto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nie uwzgl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 wys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ugi za lata pracy funkcjonariusza przed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i po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bie; okre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li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lata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by w okresie 1944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1990 jako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dla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totalitarnego;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Style w:val="Domyślna czcionka akapitu1"/>
          <w:rtl w:val="0"/>
        </w:rPr>
        <w:t>Ustaw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2016 zaj</w:t>
      </w:r>
      <w:r>
        <w:rPr>
          <w:rStyle w:val="Domyślna czcionka akapitu1"/>
          <w:rtl w:val="0"/>
        </w:rPr>
        <w:t xml:space="preserve">ął </w:t>
      </w:r>
      <w:r>
        <w:rPr>
          <w:rStyle w:val="Domyślna czcionka akapitu1"/>
          <w:rtl w:val="0"/>
        </w:rPr>
        <w:t>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Najwy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szy,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 16 wrze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nia 2020 podj</w:t>
      </w:r>
      <w:r>
        <w:rPr>
          <w:rStyle w:val="Domyślna czcionka akapitu1"/>
          <w:rtl w:val="0"/>
        </w:rPr>
        <w:t xml:space="preserve">ął </w:t>
      </w:r>
      <w:r>
        <w:rPr>
          <w:rStyle w:val="Domyślna czcionka akapitu1"/>
          <w:rtl w:val="0"/>
        </w:rPr>
        <w:t>uchwa</w:t>
      </w:r>
      <w:r>
        <w:rPr>
          <w:rStyle w:val="Domyślna czcionka akapitu1"/>
          <w:rtl w:val="0"/>
        </w:rPr>
        <w:t xml:space="preserve">łę </w:t>
      </w:r>
      <w:r>
        <w:rPr>
          <w:rStyle w:val="Domyślna czcionka akapitu1"/>
          <w:rtl w:val="0"/>
        </w:rPr>
        <w:t>stanowi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o konieczno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indywidualnych ocen post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powania konkretnego funkcjonariusza. Jednym z g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</w:rPr>
        <w:t>wnych powod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zaj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  <w:lang w:val="it-IT"/>
        </w:rPr>
        <w:t>cia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t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ustaw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wstrzymywanie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TK przed zaj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ciem stanowiska (do dzi</w:t>
      </w:r>
      <w:r>
        <w:rPr>
          <w:rStyle w:val="Domyślna czcionka akapitu1"/>
          <w:rtl w:val="0"/>
        </w:rPr>
        <w:t xml:space="preserve">ś </w:t>
      </w:r>
      <w:r>
        <w:rPr>
          <w:rStyle w:val="Domyślna czcionka akapitu1"/>
          <w:rtl w:val="0"/>
        </w:rPr>
        <w:t>TK na ten temat milczy).</w:t>
      </w:r>
    </w:p>
    <w:p>
      <w:pPr>
        <w:pStyle w:val="Normal.0"/>
      </w:pPr>
      <w:r>
        <w:rPr>
          <w:rStyle w:val="Domyślna czcionka akapitu1"/>
          <w:rtl w:val="0"/>
        </w:rPr>
        <w:t xml:space="preserve">Komunikat o uchwale SN: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"https://www.sn.pl/aktualnosci/SitePages/Komunikaty_o_sprawach.aspx?ItemSID=392-b6b3e804-2752-4c7d-bcb4-7586782a1315&amp;ListName=Komunikaty_o_sprawach"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https://www.sn.pl/aktualnosci/SitePages/Komunikaty_o_sprawach.aspx?ItemSID=392-b6b3e804-2752-4c7d-bcb4-7586782a1315&amp;ListName=Komunikaty_o_sprawach</w:t>
      </w:r>
      <w:r>
        <w:rPr/>
        <w:fldChar w:fldCharType="end" w:fldLock="0"/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Style w:val="Domyślna czcionka akapitu1"/>
          <w:rtl w:val="0"/>
        </w:rPr>
        <w:t>Od tej chwili, czyli od wrze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nia 2020 (uchwa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SN),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 w kraju ruszy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w orzekaniu skarg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rym zmniejszono renty i emerytury (efekt ustawy 2016). Z tego powodu,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uchwa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SN z wrze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nia 2020 nie stanowi dla wielu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podstawy do podobnej linii orzeczniczej wydawane wyroki   s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skrajnie r</w:t>
      </w:r>
      <w:r>
        <w:rPr>
          <w:rStyle w:val="Domyślna czcionka akapitu1"/>
          <w:rtl w:val="0"/>
        </w:rPr>
        <w:t>óż</w:t>
      </w:r>
      <w:r>
        <w:rPr>
          <w:rStyle w:val="Domyślna czcionka akapitu1"/>
          <w:rtl w:val="0"/>
        </w:rPr>
        <w:t>ne (nawet w bardzo podobnych sytuacjach).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Zak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ad Emerytalno-Rentowy MSWiA w ka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dym przypadku sk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  <w:lang w:val="es-ES_tradnl"/>
        </w:rPr>
        <w:t>ada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apelacj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  <w:lang w:val="pt-PT"/>
        </w:rPr>
        <w:t>do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Apelacyjnych,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 ferowa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tak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diametralnie r</w:t>
      </w:r>
      <w:r>
        <w:rPr>
          <w:rStyle w:val="Domyślna czcionka akapitu1"/>
          <w:rtl w:val="0"/>
        </w:rPr>
        <w:t>óż</w:t>
      </w:r>
      <w:r>
        <w:rPr>
          <w:rStyle w:val="Domyślna czcionka akapitu1"/>
          <w:rtl w:val="0"/>
        </w:rPr>
        <w:t>ne orzeczenia-wyroki. Jest kilka SO i SA,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  w zdecydowanej wi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kszo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wydaj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 sprawach z obszaru tej tematyki, wyroki niekorzystne dla skar</w:t>
      </w:r>
      <w:r>
        <w:rPr>
          <w:rStyle w:val="Domyślna czcionka akapitu1"/>
          <w:rtl w:val="0"/>
        </w:rPr>
        <w:t>żą</w:t>
      </w:r>
      <w:r>
        <w:rPr>
          <w:rStyle w:val="Domyślna czcionka akapitu1"/>
          <w:rtl w:val="0"/>
        </w:rPr>
        <w:t>cych.</w:t>
      </w:r>
    </w:p>
    <w:p>
      <w:pPr>
        <w:pStyle w:val="Normal.0"/>
        <w:jc w:val="both"/>
        <w:rPr>
          <w:b w:val="1"/>
          <w:bCs w:val="1"/>
        </w:rPr>
      </w:pPr>
      <w:r>
        <w:rPr>
          <w:rStyle w:val="Domyślna czcionka akapitu1"/>
          <w:rtl w:val="0"/>
        </w:rPr>
        <w:t>*</w:t>
      </w:r>
    </w:p>
    <w:p>
      <w:pPr>
        <w:pStyle w:val="Normal.0"/>
      </w:pPr>
      <w:r>
        <w:rPr>
          <w:b w:val="1"/>
          <w:bCs w:val="1"/>
          <w:rtl w:val="0"/>
        </w:rPr>
        <w:t>Andrzej Rozenek</w:t>
      </w:r>
      <w:r>
        <w:rPr>
          <w:rStyle w:val="Domyślna czcionka akapitu1"/>
          <w:rtl w:val="0"/>
        </w:rPr>
        <w:t>, cz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onek grupy,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ra zg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osi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projekt zmiany ustawy dezubekizacyjnej z 2016 pod koniec kadencji Sejmu 2015-2019 (jako projekt obywatelski poparty podpisami ok 250 tys. 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b) oraz ju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jako pose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na pocz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tku kadencji 2019-2023</w:t>
      </w:r>
    </w:p>
    <w:p>
      <w:pPr>
        <w:pStyle w:val="Normal.0"/>
      </w:pP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Poselski projekt ustawy o zmianie ustawy o zaopatrzeniu emerytalnym funkcjonariuszy Policji, Agencji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Wewn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trznego, Agencji Wywiadu,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Kontrwywiadu Wojskowego, Centralnego Biura Antykorupcyjnego, Stra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 Granicznej, Biura Ochrony 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du,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stwowej Stra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en-US"/>
        </w:rPr>
        <w:t>y Po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arnej i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en-US"/>
        </w:rPr>
        <w:t>by Wi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ziennej oraz ich rodzin</w:t>
      </w:r>
      <w:r>
        <w:rPr>
          <w:rStyle w:val="Domyślna czcionka akapitu1"/>
          <w:rtl w:val="0"/>
        </w:rPr>
        <w:t>”</w:t>
      </w:r>
    </w:p>
    <w:p>
      <w:pPr>
        <w:pStyle w:val="Normal.0"/>
      </w:pPr>
      <w:r>
        <w:rPr>
          <w:rStyle w:val="Domyślna czcionka akapitu1"/>
          <w:rtl w:val="0"/>
        </w:rPr>
        <w:t>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yn</w:t>
      </w:r>
      <w:r>
        <w:rPr>
          <w:rStyle w:val="Domyślna czcionka akapitu1"/>
          <w:rtl w:val="0"/>
        </w:rPr>
        <w:t xml:space="preserve">ął </w:t>
      </w:r>
      <w:r>
        <w:rPr>
          <w:rStyle w:val="Domyślna czcionka akapitu1"/>
          <w:rtl w:val="0"/>
        </w:rPr>
        <w:t>do Sejmu -16 grudnia 2019</w:t>
      </w:r>
    </w:p>
    <w:p>
      <w:pPr>
        <w:pStyle w:val="Normal.0"/>
      </w:pPr>
      <w:r>
        <w:rPr>
          <w:rStyle w:val="Domyślna czcionka akapitu1"/>
          <w:rtl w:val="0"/>
        </w:rPr>
        <w:t>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yn</w:t>
      </w:r>
      <w:r>
        <w:rPr>
          <w:rStyle w:val="Domyślna czcionka akapitu1"/>
          <w:rtl w:val="0"/>
        </w:rPr>
        <w:t>ęł</w:t>
      </w:r>
      <w:r>
        <w:rPr>
          <w:rStyle w:val="Domyślna czcionka akapitu1"/>
          <w:rtl w:val="0"/>
        </w:rPr>
        <w:t>o stanowisko 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-25 czerwca 2020</w:t>
      </w:r>
    </w:p>
    <w:p>
      <w:pPr>
        <w:pStyle w:val="Normal.0"/>
        <w:rPr>
          <w:b w:val="1"/>
          <w:bCs w:val="1"/>
        </w:rPr>
      </w:pPr>
      <w:r>
        <w:rPr>
          <w:rStyle w:val="Domyślna czcionka akapitu1"/>
          <w:rtl w:val="0"/>
        </w:rPr>
        <w:t>Tre</w:t>
      </w:r>
      <w:r>
        <w:rPr>
          <w:rStyle w:val="Domyślna czcionka akapitu1"/>
          <w:rtl w:val="0"/>
        </w:rPr>
        <w:t xml:space="preserve">ść </w:t>
      </w:r>
      <w:r>
        <w:rPr>
          <w:rStyle w:val="Domyślna czcionka akapitu1"/>
          <w:rtl w:val="0"/>
        </w:rPr>
        <w:t xml:space="preserve">druku sejmowego nr 100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"https://www.sejm.gov.pl/Sejm9.nsf/druk.xsp?nr=100#_blank"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https://www.sejm.gov.pl/Sejm9.nsf/druk.xsp?nr=100</w:t>
      </w:r>
      <w:r>
        <w:rPr/>
        <w:fldChar w:fldCharType="end" w:fldLock="0"/>
      </w:r>
    </w:p>
    <w:p>
      <w:pPr>
        <w:pStyle w:val="Normal.0"/>
      </w:pPr>
      <w:r>
        <w:rPr>
          <w:b w:val="1"/>
          <w:bCs w:val="1"/>
          <w:rtl w:val="0"/>
        </w:rPr>
        <w:t>Projekt w obu przypadkach nie przeszed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.</w:t>
      </w:r>
      <w:r>
        <w:rPr>
          <w:rStyle w:val="Domyślna czcionka akapitu1"/>
          <w:rtl w:val="0"/>
        </w:rPr>
        <w:t xml:space="preserve"> Zawiera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w wielkim skr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cie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zmian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wysoko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przelicznika za ka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dy przepracowany rok w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bie i jest to przelicznik 1,3%.</w:t>
      </w:r>
    </w:p>
    <w:p>
      <w:pPr>
        <w:pStyle w:val="Normal.0"/>
        <w:rPr>
          <w:u w:val="single"/>
        </w:rPr>
      </w:pPr>
      <w:r>
        <w:rPr>
          <w:rStyle w:val="Domyślna czcionka akapitu1"/>
          <w:rtl w:val="0"/>
        </w:rPr>
        <w:t>W zasadzie z przelicznikiem tej wysoko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nie zgadza si</w:t>
      </w:r>
      <w:r>
        <w:rPr>
          <w:rStyle w:val="Domyślna czcionka akapitu1"/>
          <w:rtl w:val="0"/>
        </w:rPr>
        <w:t>ę ś</w:t>
      </w:r>
      <w:r>
        <w:rPr>
          <w:rStyle w:val="Domyślna czcionka akapitu1"/>
          <w:rtl w:val="0"/>
        </w:rPr>
        <w:t>rodowisko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mundurowych. Federacja Stowarzysze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 Mundurowych swojego stanowiska w tej sprawie nie zaprezentowa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jednoznacznie.</w:t>
      </w:r>
    </w:p>
    <w:p>
      <w:pPr>
        <w:pStyle w:val="Normal.0"/>
        <w:jc w:val="both"/>
        <w:rPr>
          <w:u w:val="single"/>
        </w:rPr>
      </w:pPr>
    </w:p>
    <w:p>
      <w:pPr>
        <w:pStyle w:val="Normal.0"/>
        <w:jc w:val="both"/>
        <w:rPr>
          <w:u w:val="single"/>
        </w:rPr>
      </w:pPr>
    </w:p>
    <w:p>
      <w:pPr>
        <w:pStyle w:val="Normal.0"/>
        <w:jc w:val="both"/>
        <w:rPr>
          <w:u w:val="single"/>
        </w:rPr>
      </w:pPr>
    </w:p>
    <w:p>
      <w:pPr>
        <w:pStyle w:val="Normal.0"/>
        <w:jc w:val="both"/>
      </w:pPr>
      <w:r>
        <w:rPr>
          <w:u w:val="single"/>
          <w:rtl w:val="0"/>
        </w:rPr>
        <w:t>Zmiany przedstawione w projekcie nie cofaj</w:t>
      </w:r>
      <w:r>
        <w:rPr>
          <w:u w:val="single"/>
          <w:rtl w:val="0"/>
        </w:rPr>
        <w:t xml:space="preserve">ą </w:t>
      </w:r>
      <w:r>
        <w:rPr>
          <w:u w:val="single"/>
          <w:rtl w:val="0"/>
        </w:rPr>
        <w:t>i nie obejmuj</w:t>
      </w:r>
      <w:r>
        <w:rPr>
          <w:u w:val="single"/>
          <w:rtl w:val="0"/>
        </w:rPr>
        <w:t xml:space="preserve">ą </w:t>
      </w:r>
      <w:r>
        <w:rPr>
          <w:u w:val="single"/>
          <w:rtl w:val="0"/>
        </w:rPr>
        <w:t>zmian zwi</w:t>
      </w:r>
      <w:r>
        <w:rPr>
          <w:u w:val="single"/>
          <w:rtl w:val="0"/>
        </w:rPr>
        <w:t>ą</w:t>
      </w:r>
      <w:r>
        <w:rPr>
          <w:u w:val="single"/>
          <w:rtl w:val="0"/>
        </w:rPr>
        <w:t>zanych z ustaw</w:t>
      </w:r>
      <w:r>
        <w:rPr>
          <w:u w:val="single"/>
          <w:rtl w:val="0"/>
        </w:rPr>
        <w:t xml:space="preserve">ą </w:t>
      </w:r>
      <w:r>
        <w:rPr>
          <w:u w:val="single"/>
          <w:rtl w:val="0"/>
        </w:rPr>
        <w:t>2009 a jedynie tych dokonanych ustaw</w:t>
      </w:r>
      <w:r>
        <w:rPr>
          <w:u w:val="single"/>
          <w:rtl w:val="0"/>
        </w:rPr>
        <w:t xml:space="preserve">ą </w:t>
      </w:r>
      <w:r>
        <w:rPr>
          <w:u w:val="single"/>
          <w:rtl w:val="0"/>
        </w:rPr>
        <w:t>2016. Przyj</w:t>
      </w:r>
      <w:r>
        <w:rPr>
          <w:u w:val="single"/>
          <w:rtl w:val="0"/>
        </w:rPr>
        <w:t>ę</w:t>
      </w:r>
      <w:r>
        <w:rPr>
          <w:u w:val="single"/>
          <w:rtl w:val="0"/>
          <w:lang w:val="it-IT"/>
        </w:rPr>
        <w:t xml:space="preserve">to, </w:t>
      </w:r>
      <w:r>
        <w:rPr>
          <w:u w:val="single"/>
          <w:rtl w:val="0"/>
        </w:rPr>
        <w:t>ż</w:t>
      </w:r>
      <w:r>
        <w:rPr>
          <w:u w:val="single"/>
          <w:rtl w:val="0"/>
        </w:rPr>
        <w:t>e wyrok TK z 2010 spraw</w:t>
      </w:r>
      <w:r>
        <w:rPr>
          <w:u w:val="single"/>
          <w:rtl w:val="0"/>
        </w:rPr>
        <w:t xml:space="preserve">ę </w:t>
      </w:r>
      <w:r>
        <w:rPr>
          <w:u w:val="single"/>
          <w:rtl w:val="0"/>
        </w:rPr>
        <w:t>za</w:t>
      </w:r>
      <w:r>
        <w:rPr>
          <w:u w:val="single"/>
          <w:rtl w:val="0"/>
        </w:rPr>
        <w:t>ł</w:t>
      </w:r>
      <w:r>
        <w:rPr>
          <w:u w:val="single"/>
          <w:rtl w:val="0"/>
        </w:rPr>
        <w:t>atwia.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</w:rPr>
      </w:pPr>
      <w:r>
        <w:rPr>
          <w:rStyle w:val="Domyślna czcionka akapitu1"/>
          <w:rtl w:val="0"/>
        </w:rPr>
        <w:t>*</w:t>
      </w:r>
    </w:p>
    <w:p>
      <w:pPr>
        <w:pStyle w:val="Normal.0"/>
        <w:jc w:val="both"/>
      </w:pPr>
      <w:r>
        <w:rPr>
          <w:b w:val="1"/>
          <w:bCs w:val="1"/>
          <w:rtl w:val="0"/>
        </w:rPr>
        <w:t>Poparcie Lewicy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Wsp</w:t>
      </w:r>
      <w:r>
        <w:rPr>
          <w:rStyle w:val="Domyślna czcionka akapitu1"/>
          <w:rtl w:val="0"/>
        </w:rPr>
        <w:t>ół</w:t>
      </w:r>
      <w:r>
        <w:rPr>
          <w:rStyle w:val="Domyślna czcionka akapitu1"/>
          <w:rtl w:val="0"/>
        </w:rPr>
        <w:t>przewodnicz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 Nowej Lewicy W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odzimierz Czarzasty by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uprzejmy zawiadomi</w:t>
      </w:r>
      <w:r>
        <w:rPr>
          <w:rStyle w:val="Domyślna czcionka akapitu1"/>
          <w:rtl w:val="0"/>
        </w:rPr>
        <w:t>ć ś</w:t>
      </w:r>
      <w:r>
        <w:rPr>
          <w:rStyle w:val="Domyślna czcionka akapitu1"/>
          <w:rtl w:val="0"/>
        </w:rPr>
        <w:t>rodowisko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dotkni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tych ustawami represyjnymi (mundurowych) o podpisanym porozumieniu mi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dzy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lewic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a stowarzyszeniem</w:t>
      </w:r>
      <w:r>
        <w:rPr>
          <w:rStyle w:val="Domyślna czcionka akapitu1"/>
          <w:rtl w:val="0"/>
        </w:rPr>
        <w:t>”</w:t>
      </w:r>
      <w:r>
        <w:rPr>
          <w:rStyle w:val="Domyślna czcionka akapitu1"/>
          <w:rtl w:val="0"/>
        </w:rPr>
        <w:t>. Istot</w:t>
      </w:r>
      <w:r>
        <w:rPr>
          <w:rStyle w:val="Domyślna czcionka akapitu1"/>
          <w:rtl w:val="0"/>
        </w:rPr>
        <w:t>ą „</w:t>
      </w:r>
      <w:r>
        <w:rPr>
          <w:rStyle w:val="Domyślna czcionka akapitu1"/>
          <w:rtl w:val="0"/>
        </w:rPr>
        <w:t>porozumienia</w:t>
      </w:r>
      <w:r>
        <w:rPr>
          <w:rStyle w:val="Domyślna czcionka akapitu1"/>
          <w:rtl w:val="0"/>
        </w:rPr>
        <w:t xml:space="preserve">” </w:t>
      </w:r>
      <w:r>
        <w:rPr>
          <w:rStyle w:val="Domyślna czcionka akapitu1"/>
          <w:rtl w:val="0"/>
        </w:rPr>
        <w:t xml:space="preserve">jest stwierdzenie,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 Lewica nie wejdzie do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adnego 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du, w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rym prawa nabyte nie wr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c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  <w:lang w:val="es-ES_tradnl"/>
        </w:rPr>
        <w:t>do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 mundurowych (czyli mowa o odwo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aniu ustawy 2016 r).</w:t>
      </w:r>
    </w:p>
    <w:p>
      <w:pPr>
        <w:pStyle w:val="Normal.0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"https://lewica.org.pl/aktualnosci/8640-ustawa-represyjna-lewica-nie-wejdzie-zadnego-rzadu-w-ktorym-prawa-nabyte-nie-wroca-do-sluzb-mundurowych#_blank"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https://lewica.org.pl/aktualnosci/8640-ustawa-represyjna-lewica-nie-wejdzie-zadnego-rzadu-w-ktorym-prawa-nabyte-nie-wroca-do-sluzb-mundurowych</w:t>
      </w:r>
      <w:r>
        <w:rPr/>
        <w:fldChar w:fldCharType="end" w:fldLock="0"/>
      </w:r>
    </w:p>
    <w:p>
      <w:pPr>
        <w:pStyle w:val="Normal.0"/>
        <w:jc w:val="both"/>
      </w:pPr>
      <w:r>
        <w:rPr>
          <w:rStyle w:val="Domyślna czcionka akapitu1"/>
          <w:rtl w:val="0"/>
        </w:rPr>
        <w:t>*</w:t>
      </w:r>
    </w:p>
    <w:p>
      <w:pPr>
        <w:pStyle w:val="Normal.0"/>
        <w:jc w:val="both"/>
        <w:rPr>
          <w:u w:val="single"/>
        </w:rPr>
      </w:pPr>
      <w:r>
        <w:rPr>
          <w:b w:val="1"/>
          <w:bCs w:val="1"/>
          <w:rtl w:val="0"/>
        </w:rPr>
        <w:t>Podczas konferencji</w:t>
      </w:r>
      <w:r>
        <w:rPr>
          <w:rStyle w:val="Domyślna czcionka akapitu1"/>
          <w:rtl w:val="0"/>
        </w:rPr>
        <w:t xml:space="preserve"> zorganizowanej w Senacie 19 grudnia 2022 przedstawiciele partii opozycyjnych podpisali tekst deklaracji, w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rej znalaz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te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takie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owa: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 xml:space="preserve">...deklarujemy,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zrobimy wszystko by cofn</w:t>
      </w:r>
      <w:r>
        <w:rPr>
          <w:rStyle w:val="Domyślna czcionka akapitu1"/>
          <w:rtl w:val="0"/>
        </w:rPr>
        <w:t xml:space="preserve">ąć </w:t>
      </w:r>
      <w:r>
        <w:rPr>
          <w:rStyle w:val="Domyślna czcionka akapitu1"/>
          <w:rtl w:val="0"/>
        </w:rPr>
        <w:t>skutki ustawy z 16 grudnia 2016 odbieraj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cej emerytom mundurowym nale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de-DE"/>
        </w:rPr>
        <w:t xml:space="preserve">ne im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wiadczenia</w:t>
      </w:r>
      <w:r>
        <w:rPr>
          <w:rStyle w:val="Domyślna czcionka akapitu1"/>
          <w:rtl w:val="0"/>
        </w:rPr>
        <w:t>”</w:t>
      </w:r>
      <w:r>
        <w:rPr>
          <w:rStyle w:val="Domyślna czcionka akapitu1"/>
          <w:rtl w:val="0"/>
        </w:rPr>
        <w:t>.</w:t>
      </w:r>
    </w:p>
    <w:p>
      <w:pPr>
        <w:pStyle w:val="Normal.0"/>
        <w:jc w:val="both"/>
      </w:pPr>
      <w:r>
        <w:rPr>
          <w:u w:val="single"/>
          <w:rtl w:val="0"/>
        </w:rPr>
        <w:t>W imieniu partii i stowarzysze</w:t>
      </w:r>
      <w:r>
        <w:rPr>
          <w:u w:val="single"/>
          <w:rtl w:val="0"/>
        </w:rPr>
        <w:t xml:space="preserve">ń </w:t>
      </w:r>
      <w:r>
        <w:rPr>
          <w:u w:val="single"/>
          <w:rtl w:val="0"/>
        </w:rPr>
        <w:t>Deklaracj</w:t>
      </w:r>
      <w:r>
        <w:rPr>
          <w:u w:val="single"/>
          <w:rtl w:val="0"/>
        </w:rPr>
        <w:t xml:space="preserve">ę </w:t>
      </w:r>
      <w:r>
        <w:rPr>
          <w:u w:val="single"/>
          <w:rtl w:val="0"/>
        </w:rPr>
        <w:t>podpisali: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Koalicja Obywatelska -Tomasz Siemoniak;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Wiosna - Hanna Gil-Pi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tek;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Nowa Lewica - Krzysztof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miszek;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Polskie Stronnictwo Ludowe - Jakub Stefa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ski;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Koalicja Obywatelska - Witold Zembaczy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ski;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Koalicja Obywatelska - Katarzyna Piekarska;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Zieloni - Wojciech Kubelewski;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PPS - Jakub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abi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ski;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Unia Pracy - Waldemar Witkowski;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Andrzej Rozenek;</w:t>
      </w:r>
    </w:p>
    <w:p>
      <w:pPr>
        <w:pStyle w:val="Normal.0"/>
        <w:jc w:val="both"/>
        <w:rPr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"https://fb.watch/hv-_hvk46N/#_blank"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https://fb.watch/hv-_hvk46N/</w:t>
      </w:r>
      <w:r>
        <w:rPr/>
        <w:fldChar w:fldCharType="end" w:fldLock="0"/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***</w:t>
      </w:r>
    </w:p>
    <w:p>
      <w:pPr>
        <w:pStyle w:val="Body Text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Dane uszczeg</w:t>
      </w:r>
      <w:r>
        <w:rPr>
          <w:b w:val="1"/>
          <w:bCs w:val="1"/>
          <w:rtl w:val="0"/>
        </w:rPr>
        <w:t>ół</w:t>
      </w:r>
      <w:r>
        <w:rPr>
          <w:b w:val="1"/>
          <w:bCs w:val="1"/>
          <w:rtl w:val="0"/>
        </w:rPr>
        <w:t>awiaj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ce (uzasadnienie projektodawcy, S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d Najwy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szy, SEiRP</w:t>
      </w:r>
    </w:p>
    <w:p>
      <w:pPr>
        <w:pStyle w:val="Normal.0"/>
      </w:pPr>
      <w:r>
        <w:rPr>
          <w:b w:val="1"/>
          <w:bCs w:val="1"/>
          <w:rtl w:val="0"/>
        </w:rPr>
        <w:t xml:space="preserve">To z projektu ustawy grudniowej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z 16 grudnia 2016</w:t>
      </w:r>
    </w:p>
    <w:p>
      <w:pPr>
        <w:pStyle w:val="Normal.0"/>
      </w:pPr>
      <w:r>
        <w:rPr>
          <w:rStyle w:val="Domyślna czcionka akapitu1"/>
          <w:rtl w:val="0"/>
        </w:rPr>
        <w:t>przewidywania: jest  to cz</w:t>
      </w:r>
      <w:r>
        <w:rPr>
          <w:rStyle w:val="Domyślna czcionka akapitu1"/>
          <w:rtl w:val="0"/>
        </w:rPr>
        <w:t xml:space="preserve">ęść </w:t>
      </w:r>
      <w:r>
        <w:rPr>
          <w:rStyle w:val="Domyślna czcionka akapitu1"/>
          <w:rtl w:val="0"/>
        </w:rPr>
        <w:t xml:space="preserve">dokumentu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Ocena skutk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regulacji</w:t>
      </w:r>
      <w:r>
        <w:rPr>
          <w:rStyle w:val="Domyślna czcionka akapitu1"/>
          <w:rtl w:val="0"/>
        </w:rPr>
        <w:t>”</w:t>
      </w:r>
      <w:r>
        <w:rPr>
          <w:rStyle w:val="Domyślna czcionka akapitu1"/>
          <w:rtl w:val="0"/>
        </w:rPr>
        <w:t>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 przewidywa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, ilu osobom ukradn</w:t>
      </w:r>
      <w:r>
        <w:rPr>
          <w:rStyle w:val="Domyślna czcionka akapitu1"/>
          <w:rtl w:val="0"/>
        </w:rPr>
        <w:t>ą ś</w:t>
      </w:r>
      <w:r>
        <w:rPr>
          <w:rStyle w:val="Domyślna czcionka akapitu1"/>
          <w:rtl w:val="0"/>
        </w:rPr>
        <w:t>wiadczenia, ile zaoszcz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itp.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Podmioty na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 oddzia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uje projekt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Oceniono,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ustaw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zostanie obj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te co najmniej 32,5 tys. 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b w wyniku czego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wiadczenie emerytalno-rentowe tych 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b zostan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obni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it-IT"/>
        </w:rPr>
        <w:t>one (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wiadczeniobiorcom Zak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adu Emerytalno-Rentowego MSWiA, b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cymi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ymi funkcjonariuszami pe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cymi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na rzecz totalitarnego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lub pozosta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ymi po nich rencistami rodzinnymi).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yw na rynek pracy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Projektowana ustawa nie b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dzie mia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znacz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cego 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ywu na rynek pracy. Osoby obj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te projektowan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ustaw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 wi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kszo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  <w:lang w:val="it-IT"/>
        </w:rPr>
        <w:t>ci s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 zaawansowanym wieku, w zwi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zku z czym mimo zmniejszenia swoich dochod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zdaje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i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nie b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poszukiwa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dodatkowego zatrudnienia.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*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sz w:val="20"/>
          <w:szCs w:val="20"/>
        </w:rPr>
      </w:pPr>
      <w:r>
        <w:rPr>
          <w:rStyle w:val="Domyślna czcionka akapitu1"/>
          <w:rtl w:val="0"/>
        </w:rPr>
        <w:t>Oszacowanie skutk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finansowych projektowanej ustawy w zakresie zmniejszenia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rodk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z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etu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na wyp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at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policyjnych emerytur, rent inwalidzkich i rent rodzinnych</w:t>
      </w:r>
    </w:p>
    <w:tbl>
      <w:tblPr>
        <w:tblW w:w="9638" w:type="dxa"/>
        <w:jc w:val="left"/>
        <w:tblInd w:w="1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91"/>
        <w:gridCol w:w="1221"/>
        <w:gridCol w:w="1606"/>
        <w:gridCol w:w="1739"/>
        <w:gridCol w:w="1474"/>
        <w:gridCol w:w="1607"/>
      </w:tblGrid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99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A</w:t>
            </w:r>
          </w:p>
        </w:tc>
        <w:tc>
          <w:tcPr>
            <w:tcW w:type="dxa" w:w="122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B</w:t>
            </w:r>
          </w:p>
        </w:tc>
        <w:tc>
          <w:tcPr>
            <w:tcW w:type="dxa" w:w="160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C</w:t>
            </w:r>
          </w:p>
        </w:tc>
        <w:tc>
          <w:tcPr>
            <w:tcW w:type="dxa" w:w="173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D</w:t>
            </w:r>
          </w:p>
        </w:tc>
        <w:tc>
          <w:tcPr>
            <w:tcW w:type="dxa" w:w="14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E</w:t>
            </w:r>
          </w:p>
        </w:tc>
        <w:tc>
          <w:tcPr>
            <w:tcW w:type="dxa" w:w="160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F</w:t>
            </w:r>
          </w:p>
        </w:tc>
      </w:tr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99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wiadczenia pobierane</w:t>
            </w:r>
          </w:p>
        </w:tc>
        <w:tc>
          <w:tcPr>
            <w:tcW w:type="dxa" w:w="122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Liczba os</w:t>
            </w: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b, kt</w:t>
            </w: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rych emerytury zmniejszono w wyniku ustawy dezubekizacyjnej</w:t>
            </w:r>
          </w:p>
        </w:tc>
        <w:tc>
          <w:tcPr>
            <w:tcW w:type="dxa" w:w="160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Łą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czne miesi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 xml:space="preserve">czne wydatki na ich 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wiadczenia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z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ł</w:t>
            </w:r>
          </w:p>
        </w:tc>
        <w:tc>
          <w:tcPr>
            <w:tcW w:type="dxa" w:w="173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Łą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czne miesi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 xml:space="preserve">czne wydatki na ich 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wiadczenia po wej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 xml:space="preserve">ciu w 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ycie projektowanej ustawy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z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ł</w:t>
            </w:r>
          </w:p>
        </w:tc>
        <w:tc>
          <w:tcPr>
            <w:tcW w:type="dxa" w:w="14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R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óż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nica mi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dzy kolumn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sz w:val="20"/>
                <w:szCs w:val="20"/>
                <w:shd w:val="nil" w:color="auto" w:fill="auto"/>
                <w:rtl w:val="0"/>
                <w:lang w:val="da-DK"/>
              </w:rPr>
              <w:t>C i D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z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ł</w:t>
            </w:r>
          </w:p>
        </w:tc>
        <w:tc>
          <w:tcPr>
            <w:tcW w:type="dxa" w:w="160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Roczne zmniejszenie koszt</w:t>
            </w: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w (12 razy kolumna E) (z uwzgl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dnieniem waloryzacji 100,73%)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z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ł</w:t>
            </w:r>
          </w:p>
        </w:tc>
      </w:tr>
      <w:tr>
        <w:tblPrEx>
          <w:shd w:val="clear" w:color="auto" w:fill="cdd4e9"/>
        </w:tblPrEx>
        <w:trPr>
          <w:trHeight w:val="434" w:hRule="atLeast"/>
        </w:trPr>
        <w:tc>
          <w:tcPr>
            <w:tcW w:type="dxa" w:w="199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de-DE"/>
              </w:rPr>
              <w:t>EMERYTURY</w:t>
            </w:r>
          </w:p>
        </w:tc>
        <w:tc>
          <w:tcPr>
            <w:tcW w:type="dxa" w:w="122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18.639</w:t>
            </w:r>
          </w:p>
        </w:tc>
        <w:tc>
          <w:tcPr>
            <w:tcW w:type="dxa" w:w="160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61.183.333,65</w:t>
            </w:r>
          </w:p>
        </w:tc>
        <w:tc>
          <w:tcPr>
            <w:tcW w:type="dxa" w:w="173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35.544.069,80</w:t>
            </w:r>
          </w:p>
        </w:tc>
        <w:tc>
          <w:tcPr>
            <w:tcW w:type="dxa" w:w="14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25.639.263,85</w:t>
            </w:r>
          </w:p>
        </w:tc>
        <w:tc>
          <w:tcPr>
            <w:tcW w:type="dxa" w:w="160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307.671.166,20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(309.917.165,71)</w:t>
            </w:r>
          </w:p>
        </w:tc>
      </w:tr>
      <w:tr>
        <w:tblPrEx>
          <w:shd w:val="clear" w:color="auto" w:fill="cdd4e9"/>
        </w:tblPrEx>
        <w:trPr>
          <w:trHeight w:val="1094" w:hRule="atLeast"/>
        </w:trPr>
        <w:tc>
          <w:tcPr>
            <w:tcW w:type="dxa" w:w="199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RENTY INWALIDZKIE (os</w:t>
            </w: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b, kt</w:t>
            </w: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rych emerytury zosta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y zmniejszone)</w:t>
            </w:r>
          </w:p>
        </w:tc>
        <w:tc>
          <w:tcPr>
            <w:tcW w:type="dxa" w:w="122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4.198</w:t>
            </w:r>
          </w:p>
        </w:tc>
        <w:tc>
          <w:tcPr>
            <w:tcW w:type="dxa" w:w="160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14.147.851,21</w:t>
            </w:r>
          </w:p>
        </w:tc>
        <w:tc>
          <w:tcPr>
            <w:tcW w:type="dxa" w:w="173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6.273.303,69</w:t>
            </w:r>
          </w:p>
        </w:tc>
        <w:tc>
          <w:tcPr>
            <w:tcW w:type="dxa" w:w="14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7.874.547,52</w:t>
            </w:r>
          </w:p>
        </w:tc>
        <w:tc>
          <w:tcPr>
            <w:tcW w:type="dxa" w:w="160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94.494.570,24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(95.184.380,60)</w:t>
            </w:r>
          </w:p>
        </w:tc>
      </w:tr>
      <w:tr>
        <w:tblPrEx>
          <w:shd w:val="clear" w:color="auto" w:fill="cdd4e9"/>
        </w:tblPrEx>
        <w:trPr>
          <w:trHeight w:val="1094" w:hRule="atLeast"/>
        </w:trPr>
        <w:tc>
          <w:tcPr>
            <w:tcW w:type="dxa" w:w="199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RENTY RODZINNE (po osobach po osobach, kt</w:t>
            </w: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rych emerytury zosta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sz w:val="20"/>
                <w:szCs w:val="20"/>
                <w:shd w:val="nil" w:color="auto" w:fill="auto"/>
                <w:rtl w:val="0"/>
              </w:rPr>
              <w:t>y zmniejszone)</w:t>
            </w:r>
          </w:p>
        </w:tc>
        <w:tc>
          <w:tcPr>
            <w:tcW w:type="dxa" w:w="122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9.269</w:t>
            </w:r>
          </w:p>
        </w:tc>
        <w:tc>
          <w:tcPr>
            <w:tcW w:type="dxa" w:w="160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27.361.388,81</w:t>
            </w:r>
          </w:p>
        </w:tc>
        <w:tc>
          <w:tcPr>
            <w:tcW w:type="dxa" w:w="173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15.639.700,88</w:t>
            </w:r>
          </w:p>
        </w:tc>
        <w:tc>
          <w:tcPr>
            <w:tcW w:type="dxa" w:w="14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11.721.687,93</w:t>
            </w:r>
          </w:p>
        </w:tc>
        <w:tc>
          <w:tcPr>
            <w:tcW w:type="dxa" w:w="160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140.660.255,16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(141.687.075,02</w:t>
            </w:r>
          </w:p>
        </w:tc>
      </w:tr>
      <w:tr>
        <w:tblPrEx>
          <w:shd w:val="clear" w:color="auto" w:fill="cdd4e9"/>
        </w:tblPrEx>
        <w:trPr>
          <w:trHeight w:val="434" w:hRule="atLeast"/>
        </w:trPr>
        <w:tc>
          <w:tcPr>
            <w:tcW w:type="dxa" w:w="199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de-DE"/>
              </w:rPr>
              <w:t>RAZEM</w:t>
            </w:r>
          </w:p>
        </w:tc>
        <w:tc>
          <w:tcPr>
            <w:tcW w:type="dxa" w:w="122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32.106</w:t>
            </w:r>
          </w:p>
        </w:tc>
        <w:tc>
          <w:tcPr>
            <w:tcW w:type="dxa" w:w="160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102.692.573,67</w:t>
            </w:r>
          </w:p>
        </w:tc>
        <w:tc>
          <w:tcPr>
            <w:tcW w:type="dxa" w:w="173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57.457.074,37</w:t>
            </w:r>
          </w:p>
        </w:tc>
        <w:tc>
          <w:tcPr>
            <w:tcW w:type="dxa" w:w="147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</w:rPr>
              <w:t>45.235.499,30</w:t>
            </w:r>
          </w:p>
        </w:tc>
        <w:tc>
          <w:tcPr>
            <w:tcW w:type="dxa" w:w="160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542.825.991,60</w:t>
            </w:r>
          </w:p>
          <w:p>
            <w:pPr>
              <w:pStyle w:val="Zawartość tabeli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</w:rPr>
              <w:t>(546.788.621,33)</w:t>
            </w:r>
          </w:p>
        </w:tc>
      </w:tr>
    </w:tbl>
    <w:p>
      <w:pPr>
        <w:pStyle w:val="Normal.0"/>
        <w:spacing w:line="240" w:lineRule="auto"/>
        <w:ind w:left="55" w:hanging="55"/>
        <w:rPr>
          <w:sz w:val="20"/>
          <w:szCs w:val="20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*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Z uchwa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y S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du Najwy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szego (fragment)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Style w:val="Domyślna czcionka akapitu1"/>
          <w:rtl w:val="0"/>
        </w:rPr>
        <w:t>sk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ad siedmiu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Najwy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szego</w:t>
      </w:r>
    </w:p>
    <w:p>
      <w:pPr>
        <w:pStyle w:val="Normal.0"/>
      </w:pPr>
      <w:r>
        <w:rPr>
          <w:rStyle w:val="Domyślna czcionka akapitu1"/>
          <w:rtl w:val="0"/>
        </w:rPr>
        <w:t>z dnia 16 wrze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nia 2020 r., Sygn. akt III UZP 1/20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"https://www.sn.pl/sites/orzecznictwo/OrzeczeniaHTML/iii%2520uzp%25201-20.docx.html#_blank"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https://www.sn.pl/sites/orzecznictwo/OrzeczeniaHTML/iii%20uzp%201-20.docx.html</w:t>
      </w:r>
      <w:r>
        <w:rPr/>
        <w:fldChar w:fldCharType="end" w:fldLock="0"/>
      </w:r>
    </w:p>
    <w:p>
      <w:pPr>
        <w:pStyle w:val="Normal.0"/>
      </w:pPr>
      <w:r>
        <w:rPr>
          <w:rStyle w:val="Domyślna czcionka akapitu1"/>
          <w:rtl w:val="0"/>
          <w:lang w:val="de-DE"/>
        </w:rPr>
        <w:t>( fragment)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37. Po upadku komunizmu w Polsce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ba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rozwi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zana na mocy ustawy z dnia 6 kwietnia 1990 r. o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dzie Ochrony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(Dz.U. z 1990 r. Nr 30, poz. 180). Zgodnie z art. 131 tej ustawy, z chwil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zorganizowania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du Ochrony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stwa, funkcjonariusze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zostali z mocy prawa zwolnieni ze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by. To rozwi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zanie dotyczy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tak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funkcjonariuszy Milicji Obywatelskiej,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do dnia 31 lipca 1989 r. byli funkcjonariuszami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stwa. Funkcjonariusze mogli by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ponownie zatrudnieni pod warunkiem uzyskania pozytywnego wyniku w post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powaniu kwalifikacyjnym,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remu </w:t>
      </w:r>
      <w:r>
        <w:rPr>
          <w:b w:val="1"/>
          <w:bCs w:val="1"/>
          <w:rtl w:val="0"/>
        </w:rPr>
        <w:t>poddano oko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 14.000 oficer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 xml:space="preserve">w. Ostatecznie </w:t>
      </w:r>
      <w:bookmarkStart w:name="_Hlk48293682" w:id="0"/>
      <w:bookmarkEnd w:id="0"/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 xml:space="preserve">twierdzono, 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e 10.439 os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b mo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e uzyska</w:t>
      </w:r>
      <w:r>
        <w:rPr>
          <w:b w:val="1"/>
          <w:bCs w:val="1"/>
          <w:rtl w:val="0"/>
        </w:rPr>
        <w:t xml:space="preserve">ć </w:t>
      </w:r>
      <w:r>
        <w:rPr>
          <w:b w:val="1"/>
          <w:bCs w:val="1"/>
          <w:rtl w:val="0"/>
        </w:rPr>
        <w:t>ponowne zatrudnienie a 3.595 zosta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 zweryfikowanych negatywnie i nie otrzyma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 ponownego anga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u.</w:t>
      </w:r>
      <w:r>
        <w:rPr>
          <w:rStyle w:val="Domyślna czcionka akapitu1"/>
          <w:rtl w:val="0"/>
        </w:rPr>
        <w:t xml:space="preserve"> Prawne ramy tego procesu regulowa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uchwa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Rady Ministr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Nr 69 z dnia 21 maja 1990 r. w sprawie trybu i warunk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przyjmowania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ych funkcjonariuszy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do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w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dzie Ochrony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i w innych jednostkach organizacyjnych podleg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ych Ministrowi Spraw Wewn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trznych oraz zatrudniania ich w Ministerstwie Spraw Wewn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trznych (MP z 1990 r. Nr 20, poz. 159).</w:t>
      </w:r>
    </w:p>
    <w:p>
      <w:pPr>
        <w:pStyle w:val="Normal.0"/>
        <w:jc w:val="both"/>
        <w:rPr>
          <w:b w:val="1"/>
          <w:bCs w:val="1"/>
        </w:rPr>
      </w:pPr>
      <w:r>
        <w:rPr>
          <w:rStyle w:val="Domyślna czcionka akapitu1"/>
          <w:rtl w:val="0"/>
        </w:rPr>
        <w:t>*</w:t>
      </w:r>
    </w:p>
    <w:p>
      <w:pPr>
        <w:pStyle w:val="Normal.0"/>
        <w:jc w:val="both"/>
      </w:pPr>
      <w:r>
        <w:rPr>
          <w:b w:val="1"/>
          <w:bCs w:val="1"/>
          <w:rtl w:val="0"/>
        </w:rPr>
        <w:t>Opracowanie SEiRP (w ca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</w:t>
      </w:r>
      <w:r>
        <w:rPr>
          <w:b w:val="1"/>
          <w:bCs w:val="1"/>
          <w:rtl w:val="0"/>
        </w:rPr>
        <w:t>ś</w:t>
      </w:r>
      <w:r>
        <w:rPr>
          <w:b w:val="1"/>
          <w:bCs w:val="1"/>
          <w:rtl w:val="0"/>
        </w:rPr>
        <w:t>ci)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Ustawa represyjna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statystyki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dowe ( na dzie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30 czerwca 2023)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Ź</w:t>
      </w:r>
      <w:r>
        <w:rPr>
          <w:rStyle w:val="Domyślna czcionka akapitu1"/>
          <w:rtl w:val="0"/>
        </w:rPr>
        <w:t>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SEiRP (Stowarzyszenie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Policyjnych)</w:t>
      </w:r>
    </w:p>
    <w:p>
      <w:pPr>
        <w:pStyle w:val="Normal.0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"https://seirp.pl/info-dla-osob/ustawa-represyjna-statystyki-sadowe/ustawa-represyjna-statystyki-sadowe-30-czerwca-2023/#_blank"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https://seirp.pl/info-dla-osob/ustawa-represyjna-statystyki-sadowe/ustawa-represyjna-statystyki-sadowe-30-czerwca-2023/</w:t>
      </w:r>
      <w:r>
        <w:rPr/>
        <w:fldChar w:fldCharType="end" w:fldLock="0"/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Tabela nr 1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gowe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statystyka za I p</w:t>
      </w:r>
      <w:r>
        <w:rPr>
          <w:rStyle w:val="Domyślna czcionka akapitu1"/>
          <w:rtl w:val="0"/>
        </w:rPr>
        <w:t>ół</w:t>
      </w:r>
      <w:r>
        <w:rPr>
          <w:rStyle w:val="Domyślna czcionka akapitu1"/>
          <w:rtl w:val="0"/>
        </w:rPr>
        <w:t xml:space="preserve">rocze 2023 roku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do 30 czerwca 2023 roku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Powy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sze zestawienie pokazuje,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en-US"/>
        </w:rPr>
        <w:t>e ci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  <w:lang w:val="da-DK"/>
        </w:rPr>
        <w:t>gle g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</w:rPr>
        <w:t>wnym problemem jest liczba spraw zalegaj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dzie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gowym w Warszawie. Od paru lat na stronie ZG SEiRP i w Biuletynie Informacyjnym publikujemy statystyki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dowe dotycz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 spraw ze skarg na decyzje Dyrektora ZER MSWiA obni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 emerytury/renty na podstawie ustawy represyjnej z 16 grudnia 2016 r. tocz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gowych i apelacyjnych. Te sprawy, degraduj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ce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ycie naszych Kole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anek i</w:t>
      </w:r>
      <w:r>
        <w:rPr>
          <w:rStyle w:val="Domyślna czcionka akapitu1"/>
          <w:rtl w:val="0"/>
        </w:rPr>
        <w:t> </w:t>
      </w:r>
      <w:r>
        <w:rPr>
          <w:rStyle w:val="Domyślna czcionka akapitu1"/>
          <w:rtl w:val="0"/>
        </w:rPr>
        <w:t>Koleg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tocz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powolnym tempie, g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</w:rPr>
        <w:t>wnie z tego 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du,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do ich rozpatrywania skierowano niewystarczaj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liczb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w. Dotyczy to w szczeg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lno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gowego i Apelacyjnego w Warszawie.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gowych pozostaje do rozpatrzenia ponad 8500 spraw. Dalszy komentarz pod kolejnymi tabelami.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*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Tabela nr 2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dy apelacyjne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statystyka za I p</w:t>
      </w:r>
      <w:r>
        <w:rPr>
          <w:rStyle w:val="Domyślna czcionka akapitu1"/>
          <w:rtl w:val="0"/>
        </w:rPr>
        <w:t>ół</w:t>
      </w:r>
      <w:r>
        <w:rPr>
          <w:rStyle w:val="Domyślna czcionka akapitu1"/>
          <w:rtl w:val="0"/>
        </w:rPr>
        <w:t xml:space="preserve">rocze 2023 roku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do 30 czerwca 2023 roku</w:t>
      </w:r>
    </w:p>
    <w:p>
      <w:pPr>
        <w:pStyle w:val="Normal.0"/>
        <w:jc w:val="both"/>
      </w:pPr>
      <w:r>
        <w:rPr>
          <w:rStyle w:val="Domyślna czcionka akapitu1"/>
          <w:rtl w:val="0"/>
          <w:lang w:val="it-IT"/>
        </w:rPr>
        <w:t xml:space="preserve">Mimo,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apelacyjne w I p</w:t>
      </w:r>
      <w:r>
        <w:rPr>
          <w:rStyle w:val="Domyślna czcionka akapitu1"/>
          <w:rtl w:val="0"/>
        </w:rPr>
        <w:t>ół</w:t>
      </w:r>
      <w:r>
        <w:rPr>
          <w:rStyle w:val="Domyślna czcionka akapitu1"/>
          <w:rtl w:val="0"/>
        </w:rPr>
        <w:t>roczu 2023 roku rozpatrzy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ponad trzy tysi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 spraw, to do rozpatrzenia pozostaje ponad 5 tysi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cy spraw, a po uwzgl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dnieniu 8500 spraw zalegaj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gowych, </w:t>
      </w:r>
      <w:r>
        <w:rPr>
          <w:rStyle w:val="Domyślna czcionka akapitu1"/>
          <w:rtl w:val="0"/>
        </w:rPr>
        <w:t>łą</w:t>
      </w:r>
      <w:r>
        <w:rPr>
          <w:rStyle w:val="Domyślna czcionka akapitu1"/>
          <w:rtl w:val="0"/>
        </w:rPr>
        <w:t>cznie pozostaje 13 500 spraw. Ca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 posumowanie statystyki pod kolejna tabel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Tabela nr 3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dy apelacyjne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 xml:space="preserve">statystyka za lata 2019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do 30 czerwca 2023 roku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Z naszych wylicze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 xml:space="preserve">opartych na prezentowanych zestawieniach statystycznych za lata 2019-2023 wynika,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do 30 czerwca 2023 roku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apelacyjne za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atwi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8368 spraw, z czego w 6948 przypadk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oddalono apelacje / oceniamy,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oko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90 procent to apelacje ZER MSWiA/, natomiast w 588 przypadkach uchylono lub uchylono i przekazano do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I instancji. Wed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 stanu na 30 czerwca 2023 roku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apelacyjnych pozostawa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do rozpatrzenia 5013 spraw i ci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gle 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ywaj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nowe sprawy.</w:t>
      </w:r>
    </w:p>
    <w:p>
      <w:pPr>
        <w:pStyle w:val="Normal.0"/>
        <w:jc w:val="both"/>
      </w:pPr>
      <w:r>
        <w:rPr>
          <w:rStyle w:val="Domyślna czcionka akapitu1"/>
          <w:rtl w:val="0"/>
          <w:lang w:val="es-ES_tradnl"/>
        </w:rPr>
        <w:t>Reasumuj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  <w:lang w:val="pt-PT"/>
        </w:rPr>
        <w:t>c, do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apelacyjnych trafi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dotychczas 13 381 spraw. Bior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 pod uwag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gowych pozostaje jeszcze 8535 spraw, to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obu instancji rozstrzygni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to lub oczekuje na rozstrzygni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cie oko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22 tysi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cy spraw. Niestety w tej liczbie mie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  <w:lang w:val="it-IT"/>
        </w:rPr>
        <w:t>ci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oko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8 tysi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cy spraw eufemistycznie okre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lanych jako inne rozstrzygni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cie. Niestety ten eufemizm oznacza,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skar</w:t>
      </w:r>
      <w:r>
        <w:rPr>
          <w:rStyle w:val="Domyślna czcionka akapitu1"/>
          <w:rtl w:val="0"/>
        </w:rPr>
        <w:t>żą</w:t>
      </w:r>
      <w:r>
        <w:rPr>
          <w:rStyle w:val="Domyślna czcionka akapitu1"/>
          <w:rtl w:val="0"/>
        </w:rPr>
        <w:t>cy nie doczeka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rozstrzygni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cia /zmar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/. W du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ym zaokr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gleniu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na powy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 zestawienia podsumowa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 xml:space="preserve">stwierdzeniem,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po 6 latach prawie jedna trzecia doczeka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rozstrzygni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cia /w wi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kszo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przypadk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pozytywnego dla skar</w:t>
      </w:r>
      <w:r>
        <w:rPr>
          <w:rStyle w:val="Domyślna czcionka akapitu1"/>
          <w:rtl w:val="0"/>
        </w:rPr>
        <w:t>żą</w:t>
      </w:r>
      <w:r>
        <w:rPr>
          <w:rStyle w:val="Domyślna czcionka akapitu1"/>
          <w:rtl w:val="0"/>
        </w:rPr>
        <w:t>cych//. Ponad jedna trzecia /oko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40 procent/ czeka na rozstrzygni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cie. I niestety jedna trzecia nie doczeka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jakiegokolwiek rozstrzygni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cia, odchodz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c do metafizycznego wymiaru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wiata.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Skoro tak jak wskazali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my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gowych pozostaje do rozpatrzenia ponad 8500 spraw, a przed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dami apelacyjnymi ponad 13 tysi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cy, zatem je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eli decydenci nie poprawi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obsady w tych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dach, potrzeba jeszcze nie mniej ni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trzech lat aby zako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czy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operacj</w:t>
      </w:r>
      <w:r>
        <w:rPr>
          <w:rStyle w:val="Domyślna czcionka akapitu1"/>
          <w:rtl w:val="0"/>
        </w:rPr>
        <w:t>ę „</w:t>
      </w:r>
      <w:r>
        <w:rPr>
          <w:rStyle w:val="Domyślna czcionka akapitu1"/>
          <w:rtl w:val="0"/>
        </w:rPr>
        <w:t>dezubekizacja</w:t>
      </w:r>
      <w:r>
        <w:rPr>
          <w:rStyle w:val="Domyślna czcionka akapitu1"/>
          <w:rtl w:val="0"/>
        </w:rPr>
        <w:t>”</w:t>
      </w:r>
      <w:r>
        <w:rPr>
          <w:rStyle w:val="Domyślna czcionka akapitu1"/>
          <w:rtl w:val="0"/>
          <w:lang w:val="de-DE"/>
        </w:rPr>
        <w:t>. W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wczas to statystyka odnotuje w pozycji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inne za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atwienie sprawy</w:t>
      </w:r>
      <w:r>
        <w:rPr>
          <w:rStyle w:val="Domyślna czcionka akapitu1"/>
          <w:rtl w:val="0"/>
        </w:rPr>
        <w:t xml:space="preserve">” </w:t>
      </w:r>
      <w:r>
        <w:rPr>
          <w:rStyle w:val="Domyślna czcionka akapitu1"/>
          <w:rtl w:val="0"/>
        </w:rPr>
        <w:t>liczb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zbli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on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do 15 tysi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cy czyli po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owy skar</w:t>
      </w:r>
      <w:r>
        <w:rPr>
          <w:rStyle w:val="Domyślna czcionka akapitu1"/>
          <w:rtl w:val="0"/>
        </w:rPr>
        <w:t>żą</w:t>
      </w:r>
      <w:r>
        <w:rPr>
          <w:rStyle w:val="Domyślna czcionka akapitu1"/>
          <w:rtl w:val="0"/>
        </w:rPr>
        <w:t>cych.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Jak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na skomentowa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dlaczego nawet 6 lat nie wystarczy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  <w:lang w:val="it-IT"/>
        </w:rPr>
        <w:t xml:space="preserve">o,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eby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upora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z tymi sprawami. Pisali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my o tym, dlaczego tak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dzieje. Musimy po raz kolejny przypomnie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najwa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niejsze przyczyny.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Przyczyna pierwsza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to sze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cioletnia obstrukcja zafundowana nam przez Trybuna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 xml:space="preserve">Konstytucyjny, a w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lad za tym d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ugotrwa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 zawieszenia post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powa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dowych usprawiedliwiane oczekiwaniem na wyrok TK. Przyczyna druga, ale jeszcze wa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niejsza, to intencjonalne niewykonanie za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zapisanych w ocenie skutk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regulacji przyj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tej w szemranych warunkach niekonstytucyjnej ustawy. Ju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w opinii Ministerstwa Sprawiedliwo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z 13 wrze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nia 2016 roku / DL-IX-454-470/16 //M dot. DP-WL-0231-7/2016/ES oszacowano wydatki konieczne na realizacj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tej ustawy wprowadzenie proponowanych regulacji wygeneruje wzrost 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ywu spraw ubezpieczeniowych do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warszawskich zar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wno w I, jak i II instancji, co wi</w:t>
      </w:r>
      <w:r>
        <w:rPr>
          <w:rStyle w:val="Domyślna czcionka akapitu1"/>
          <w:rtl w:val="0"/>
        </w:rPr>
        <w:t>ąż</w:t>
      </w:r>
      <w:r>
        <w:rPr>
          <w:rStyle w:val="Domyślna czcionka akapitu1"/>
          <w:rtl w:val="0"/>
        </w:rPr>
        <w:t>e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z konieczno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 xml:space="preserve">zapewnienia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rodk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finansowych na minimum: 30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dziowskich (25 w SO i 5 w SA). 15 asystenckich (12 w SO i 3 w SA) oraz 74 nowe etaty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dnicze (62 etaty w SO i 12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w SA).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Za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enia przedstawione w opinii 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wpisane do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etu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na 2018 rok, o czym m. in. informowa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podsekretarz stanu w Ministerstwie Sprawiedliwo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  <w:lang w:val="it-IT"/>
        </w:rPr>
        <w:t xml:space="preserve">ci 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ukasz Piebiak /ten sam 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ukasz Piebiak podpisa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wnie</w:t>
      </w:r>
      <w:r>
        <w:rPr>
          <w:rStyle w:val="Domyślna czcionka akapitu1"/>
          <w:rtl w:val="0"/>
        </w:rPr>
        <w:t xml:space="preserve">ż </w:t>
      </w:r>
      <w:r>
        <w:rPr>
          <w:rStyle w:val="Domyślna czcionka akapitu1"/>
          <w:rtl w:val="0"/>
        </w:rPr>
        <w:t>wskazan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ej opini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/ w odpowiedzi datowanej 6 lutego 2018 roku na interpelacj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nr 18490 w sprawie koszt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utworzenia i funkcjonowania sekcji do spraw odwo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 xml:space="preserve">od decyzji dezubekizacyjnych, cytujemy: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 xml:space="preserve">Istotne jest jednak,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aby nie dochodzi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  <w:lang w:val="pt-PT"/>
        </w:rPr>
        <w:t>o do op</w:t>
      </w:r>
      <w:r>
        <w:rPr>
          <w:rStyle w:val="Domyślna czcionka akapitu1"/>
          <w:rtl w:val="0"/>
        </w:rPr>
        <w:t>óź</w:t>
      </w:r>
      <w:r>
        <w:rPr>
          <w:rStyle w:val="Domyślna czcionka akapitu1"/>
          <w:rtl w:val="0"/>
        </w:rPr>
        <w:t>nie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przedmiotowych post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powa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z dniem 1 stycznia 2018 r. na podstawie zarz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dzenia Prezesa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Apelacyjnego w Warszawie z dnia 28 grudnia 2017 r. utworzona 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Sekcja ds. odwo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od decyzji zmniejszaj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wysoko</w:t>
      </w:r>
      <w:r>
        <w:rPr>
          <w:rStyle w:val="Domyślna czcionka akapitu1"/>
          <w:rtl w:val="0"/>
        </w:rPr>
        <w:t xml:space="preserve">ść </w:t>
      </w:r>
      <w:r>
        <w:rPr>
          <w:rStyle w:val="Domyślna czcionka akapitu1"/>
          <w:rtl w:val="0"/>
        </w:rPr>
        <w:t>emerytur i rent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ym funkcjonariuszom pe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cym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na rzecz totalitarnego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w XIII Wydziale Ubezpiecze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  <w:lang w:val="nl-NL"/>
        </w:rPr>
        <w:t>Spo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ecznych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gowego w Warszawie. Zgodnie ze stanowiskiem Prezesa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gowego w Warszawie sta</w:t>
      </w:r>
      <w:r>
        <w:rPr>
          <w:rStyle w:val="Domyślna czcionka akapitu1"/>
          <w:rtl w:val="0"/>
        </w:rPr>
        <w:t xml:space="preserve">łą </w:t>
      </w:r>
      <w:r>
        <w:rPr>
          <w:rStyle w:val="Domyślna czcionka akapitu1"/>
          <w:rtl w:val="0"/>
        </w:rPr>
        <w:t>obs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sekcji stanowi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2 etaty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dziowskie, 1 etat asystencki, 10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dniczych oraz 1 etat obs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ugi, a do orzekania w sekcji delegowani zostan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wszyscy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dziowie z ca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ego pionu pracy i ubezpiecze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spo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ecznych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gowego w Warszawie.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Ponadto, z uwagi na przewidywany znaczny wzrost 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ywu spraw ubezpieczeniowych w cz</w:t>
      </w:r>
      <w:r>
        <w:rPr>
          <w:rStyle w:val="Domyślna czcionka akapitu1"/>
          <w:rtl w:val="0"/>
        </w:rPr>
        <w:t>ęś</w:t>
      </w:r>
      <w:r>
        <w:rPr>
          <w:rStyle w:val="Domyślna czcionka akapitu1"/>
          <w:rtl w:val="0"/>
        </w:rPr>
        <w:t>ci 15 ustawy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etowej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powszechne</w:t>
      </w:r>
      <w:r>
        <w:rPr>
          <w:rStyle w:val="Domyślna czcionka akapitu1"/>
          <w:rtl w:val="0"/>
        </w:rPr>
        <w:t xml:space="preserve">” </w:t>
      </w:r>
      <w:r>
        <w:rPr>
          <w:rStyle w:val="Domyślna czcionka akapitu1"/>
          <w:rtl w:val="0"/>
        </w:rPr>
        <w:t>na 2018 r. 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y zabezpieczone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rodki finansowe na utworzenie od dnia 1 stycznia 2018 r. 30 dodatkowych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dziowskich (5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Apelacyjny w Warszawie, 25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 w Warszawie), 15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asystenckich i 74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dniczych. Ustawa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etowa na 2018 r. zosta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 podpisana przez prezydenta Rzeczypospolitej Polskiej w dniu 30 stycznia 2018 r.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Wskazania przy tym wymaga,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zgodnie z informacj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przedstawion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przez Prezesa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gowego w Warszawie oszacowanie koszt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utworzenia i funkcjonowania sekcji b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dzie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liwe po faktycznym przydzieleniu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i ich obsadzeniu przez </w:t>
      </w:r>
      <w:r>
        <w:rPr>
          <w:rStyle w:val="Domyślna czcionka akapitu1"/>
          <w:rtl w:val="0"/>
        </w:rPr>
        <w:t>nowo zatrudnione</w:t>
      </w:r>
      <w:r>
        <w:rPr>
          <w:rStyle w:val="Domyślna czcionka akapitu1"/>
          <w:rtl w:val="0"/>
        </w:rPr>
        <w:t xml:space="preserve"> osoby na stanowiskach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dziowskich, asystenckich oraz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dniczych.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Nale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 mie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tak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 na uwadze,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zasadno</w:t>
      </w:r>
      <w:r>
        <w:rPr>
          <w:rStyle w:val="Domyślna czcionka akapitu1"/>
          <w:rtl w:val="0"/>
        </w:rPr>
        <w:t xml:space="preserve">ść </w:t>
      </w:r>
      <w:r>
        <w:rPr>
          <w:rStyle w:val="Domyślna czcionka akapitu1"/>
          <w:rtl w:val="0"/>
        </w:rPr>
        <w:t>funkcjonowania ww. sekcji poddawana b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dzie w Ministerstwie Sprawiedliwo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bie</w:t>
      </w:r>
      <w:r>
        <w:rPr>
          <w:rStyle w:val="Domyślna czcionka akapitu1"/>
          <w:rtl w:val="0"/>
        </w:rPr>
        <w:t>żą</w:t>
      </w:r>
      <w:r>
        <w:rPr>
          <w:rStyle w:val="Domyślna czcionka akapitu1"/>
          <w:rtl w:val="0"/>
        </w:rPr>
        <w:t>cej analizie i wraz z za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atwieniem przewidywanego wp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ywu spraw, ew. wprowadzenia nowelizacji Kpc o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rej mowa powy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ej, zostanie ona zniesiona.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Jednocze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nie podnie</w:t>
      </w:r>
      <w:r>
        <w:rPr>
          <w:rStyle w:val="Domyślna czcionka akapitu1"/>
          <w:rtl w:val="0"/>
        </w:rPr>
        <w:t xml:space="preserve">ść </w:t>
      </w:r>
      <w:r>
        <w:rPr>
          <w:rStyle w:val="Domyślna czcionka akapitu1"/>
          <w:rtl w:val="0"/>
          <w:lang w:val="it-IT"/>
        </w:rPr>
        <w:t>nale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y,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poziom wydatk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w cz</w:t>
      </w:r>
      <w:r>
        <w:rPr>
          <w:rStyle w:val="Domyślna czcionka akapitu1"/>
          <w:rtl w:val="0"/>
        </w:rPr>
        <w:t>ęś</w:t>
      </w:r>
      <w:r>
        <w:rPr>
          <w:rStyle w:val="Domyślna czcionka akapitu1"/>
          <w:rtl w:val="0"/>
        </w:rPr>
        <w:t>ci 15 ustawy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etowej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powszechne</w:t>
      </w:r>
      <w:r>
        <w:rPr>
          <w:rStyle w:val="Domyślna czcionka akapitu1"/>
          <w:rtl w:val="0"/>
        </w:rPr>
        <w:t xml:space="preserve">” </w:t>
      </w:r>
      <w:r>
        <w:rPr>
          <w:rStyle w:val="Domyślna czcionka akapitu1"/>
          <w:rtl w:val="0"/>
        </w:rPr>
        <w:t>na 2018 r. zabezpiecza w stopniu wystarczaj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cym realizacj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statutowych zada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jednostek organizacyjnych resortu sprawiedliwo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oraz ustawowej dzia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alno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Ministra Sprawiedliwo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ci.</w:t>
      </w:r>
      <w:r>
        <w:rPr>
          <w:rStyle w:val="Domyślna czcionka akapitu1"/>
          <w:rtl w:val="0"/>
        </w:rPr>
        <w:t>”</w:t>
      </w:r>
      <w:r>
        <w:rPr>
          <w:rStyle w:val="Domyślna czcionka akapitu1"/>
          <w:rtl w:val="0"/>
        </w:rPr>
        <w:t>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Ź</w:t>
      </w:r>
      <w:r>
        <w:rPr>
          <w:rStyle w:val="Domyślna czcionka akapitu1"/>
          <w:rtl w:val="0"/>
        </w:rPr>
        <w:t>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  <w:lang w:val="it-IT"/>
        </w:rPr>
        <w:t xml:space="preserve">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"https://www.sejm.gov.pl/sejm8.nsf/InterpelacjaTresc.xsp?key=1AC4C80F#_blank"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https://www.sejm.gov.pl/sejm8.nsf/InterpelacjaTresc.xsp?key=1AC4C80F</w:t>
      </w:r>
      <w:r>
        <w:rPr/>
        <w:fldChar w:fldCharType="end" w:fldLock="0"/>
      </w:r>
    </w:p>
    <w:p>
      <w:pPr>
        <w:pStyle w:val="Normal.0"/>
        <w:jc w:val="both"/>
      </w:pPr>
      <w:r>
        <w:rPr>
          <w:rStyle w:val="Domyślna czcionka akapitu1"/>
          <w:rtl w:val="0"/>
        </w:rPr>
        <w:t>*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Nie wiemy, co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o ze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rodkami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etowymi przeznaczonymi na wzmocnienie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gowego i Apelacyjnego w Warszawie. Jak wynika z zarz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wydawanych w 2019 roku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dzie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gowym przy przenoszeniu spraw do innych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gowych, nie odnotowano wzmocnienia zaplanowanego w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ecie 2018 roku.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Obraz stanu kadrowego w tym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dzie ilustruje zarz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dzenie /wydane w konkretnej sprawie/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 jeszcze raz w ca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prezentujemy tutaj:</w:t>
      </w:r>
    </w:p>
    <w:p>
      <w:pPr>
        <w:pStyle w:val="Normal.0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"https://seirp.pl/info-dla-osob/ustawa-represyjna-statystyki-sadowe/ustawa-represyjna-statystyki-sadowe-2022/#_blank"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https://seirp.pl/info-dla-osob/ustawa-represyjna-statystyki-sadowe/ustawa-represyjna-statystyki-sadowe-2022/#zarzadzenie-sso-mlynski</w:t>
      </w:r>
      <w:r>
        <w:rPr/>
        <w:fldChar w:fldCharType="end" w:fldLock="0"/>
      </w:r>
    </w:p>
    <w:p>
      <w:pPr>
        <w:pStyle w:val="Normal.0"/>
        <w:jc w:val="both"/>
      </w:pPr>
      <w:r>
        <w:rPr>
          <w:rStyle w:val="Domyślna czcionka akapitu1"/>
          <w:rtl w:val="0"/>
        </w:rPr>
        <w:t>*</w:t>
      </w:r>
      <w:r>
        <w:rPr>
          <w:rStyle w:val="Domyślna czcionka akapitu1"/>
        </w:rPr>
        <w:br w:type="textWrapping"/>
      </w: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dzia Rafa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M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ski,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 wyda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to konkretne zarz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dzenie 4 stycznia 2019 roku bardzo rzetelnie przedstawi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ca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dramatyzm sytuacji w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rej zosta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postawiony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gowy. Z danych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rymi dysponujemy, jednoznacznie wynika,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niestety sytuacja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jedynie pogorszy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a. Od 2021 roku w Sekcji ds. odwo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od decyzji zmniejszaj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wysoko</w:t>
      </w:r>
      <w:r>
        <w:rPr>
          <w:rStyle w:val="Domyślna czcionka akapitu1"/>
          <w:rtl w:val="0"/>
        </w:rPr>
        <w:t xml:space="preserve">ść </w:t>
      </w:r>
      <w:r>
        <w:rPr>
          <w:rStyle w:val="Domyślna czcionka akapitu1"/>
          <w:rtl w:val="0"/>
        </w:rPr>
        <w:t>emerytur i rent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ym funkcjonariuszom pe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cym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na rzecz totalitarnego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w XIII Wydziale Ubezpiecze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  <w:lang w:val="nl-NL"/>
        </w:rPr>
        <w:t>Spo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ecznych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gowego w Warszawie pracuje na sta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 tylko 8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O przyczynach tego stanu pisali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my wielokrotnie. G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</w:rPr>
        <w:t>wn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przyczyn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 xml:space="preserve">jest fakt,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kto</w:t>
      </w:r>
      <w:r>
        <w:rPr>
          <w:rStyle w:val="Domyślna czcionka akapitu1"/>
          <w:rtl w:val="0"/>
        </w:rPr>
        <w:t xml:space="preserve">ś </w:t>
      </w:r>
      <w:r>
        <w:rPr>
          <w:rStyle w:val="Domyślna czcionka akapitu1"/>
          <w:rtl w:val="0"/>
        </w:rPr>
        <w:t xml:space="preserve">/to bardzo 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atwe do ustalenia kto?/ zmarnotrawi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 xml:space="preserve">wbrew ich przeznaczeniu,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rodki przeznaczone na 30 dodatkowych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dziowskich,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 mia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y by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obsadzone w wydzia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ach zajmuj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skargami od decyzji obni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 xml:space="preserve">cych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wiadczenia. W ustawie bud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etowej na 2018 rok zapisano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rodki na 119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  <w:lang w:val="en-US"/>
        </w:rPr>
        <w:t>w / 30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15 asystent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74 urz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dnik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  <w:lang w:val="en-US"/>
        </w:rPr>
        <w:t>w/.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emy spokojnie za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</w:t>
      </w:r>
      <w:r>
        <w:rPr>
          <w:rStyle w:val="Domyślna czcionka akapitu1"/>
          <w:rtl w:val="0"/>
        </w:rPr>
        <w:t>ć</w:t>
      </w:r>
      <w:r>
        <w:rPr>
          <w:rStyle w:val="Domyślna czcionka akapitu1"/>
          <w:rtl w:val="0"/>
        </w:rPr>
        <w:t xml:space="preserve">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koszt tych etat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w sze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cioletnim okresie to jakie</w:t>
      </w:r>
      <w:r>
        <w:rPr>
          <w:rStyle w:val="Domyślna czcionka akapitu1"/>
          <w:rtl w:val="0"/>
        </w:rPr>
        <w:t xml:space="preserve">ś </w:t>
      </w:r>
      <w:r>
        <w:rPr>
          <w:rStyle w:val="Domyślna czcionka akapitu1"/>
          <w:rtl w:val="0"/>
          <w:lang w:val="it-IT"/>
        </w:rPr>
        <w:t>marne 50-60 milion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otych. Dzi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ki skandalicznie sprytnemu spo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ytkowaniu tych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rodk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w spos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b sprzeczny z ich przeznaczeniem, kilka tysi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cy 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b zmar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nie doczekawszy pierwszej rozprawy.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My nie mamy najmniejszych w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tpliwo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  <w:lang w:val="it-IT"/>
        </w:rPr>
        <w:t xml:space="preserve">ci,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kto</w:t>
      </w:r>
      <w:r>
        <w:rPr>
          <w:rStyle w:val="Domyślna czcionka akapitu1"/>
          <w:rtl w:val="0"/>
        </w:rPr>
        <w:t xml:space="preserve">ś </w:t>
      </w:r>
      <w:r>
        <w:rPr>
          <w:rStyle w:val="Domyślna czcionka akapitu1"/>
          <w:rtl w:val="0"/>
        </w:rPr>
        <w:t xml:space="preserve">/wiemy kto/ czuwa nad tym,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eby sytuacja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 tak w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nie wygl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  <w:lang w:val="it-IT"/>
        </w:rPr>
        <w:t>a.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Style w:val="Domyślna czcionka akapitu1"/>
          <w:rtl w:val="0"/>
        </w:rPr>
        <w:t>*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sz w:val="28"/>
          <w:szCs w:val="28"/>
          <w:u w:val="single"/>
          <w:rtl w:val="0"/>
        </w:rPr>
        <w:t>Tematy istotne dla wszystkich emeryt</w:t>
      </w:r>
      <w:r>
        <w:rPr>
          <w:b w:val="1"/>
          <w:bCs w:val="1"/>
          <w:sz w:val="28"/>
          <w:szCs w:val="28"/>
          <w:u w:val="single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u w:val="single"/>
          <w:rtl w:val="0"/>
        </w:rPr>
        <w:t>w i rencist</w:t>
      </w:r>
      <w:r>
        <w:rPr>
          <w:b w:val="1"/>
          <w:bCs w:val="1"/>
          <w:sz w:val="28"/>
          <w:szCs w:val="28"/>
          <w:u w:val="single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u w:val="single"/>
          <w:rtl w:val="0"/>
        </w:rPr>
        <w:t>w mundurowych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</w:rPr>
        <w:t>Dwie emerytury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 xml:space="preserve">Wielu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nierzy podj</w:t>
      </w:r>
      <w:r>
        <w:rPr>
          <w:rStyle w:val="Domyślna czcionka akapitu1"/>
          <w:rtl w:val="0"/>
        </w:rPr>
        <w:t>ęł</w:t>
      </w:r>
      <w:r>
        <w:rPr>
          <w:rStyle w:val="Domyślna czcionka akapitu1"/>
          <w:rtl w:val="0"/>
        </w:rPr>
        <w:t>o prac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po odej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ciu z wojska. Odprowadzali sk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adki na ubezpieczenie spo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eczne bez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  <w:lang w:val="it-IT"/>
        </w:rPr>
        <w:t>ci p</w:t>
      </w:r>
      <w:r>
        <w:rPr>
          <w:rStyle w:val="Domyślna czcionka akapitu1"/>
          <w:rtl w:val="0"/>
        </w:rPr>
        <w:t>óź</w:t>
      </w:r>
      <w:r>
        <w:rPr>
          <w:rStyle w:val="Domyślna czcionka akapitu1"/>
          <w:rtl w:val="0"/>
        </w:rPr>
        <w:t>niejszego podwy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szenia emerytury. Niekt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bezskutecznie szukali sprawiedliwo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w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dach. Dopiero w styczniu 2019 r.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Najwy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szy rozpatruj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 spraw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kasacyjn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jednego z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wojskowych (sygn. akt. I UK 426/17) stwierdzi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nie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na jednak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nie zauwa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</w:t>
      </w:r>
      <w:r>
        <w:rPr>
          <w:rStyle w:val="Domyślna czcionka akapitu1"/>
          <w:rtl w:val="0"/>
        </w:rPr>
        <w:t>ć</w:t>
      </w:r>
      <w:r>
        <w:rPr>
          <w:rStyle w:val="Domyślna czcionka akapitu1"/>
          <w:rtl w:val="0"/>
        </w:rPr>
        <w:t xml:space="preserve">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 xml:space="preserve">e nie wszyscy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nierze,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ry pozostawali w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bie przed dniem 2 stycznia 1999 r., mog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faktycznie zrealizowa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 xml:space="preserve">uprawnienie do wykorzystania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cywilnej</w:t>
      </w:r>
      <w:r>
        <w:rPr>
          <w:rStyle w:val="Domyślna czcionka akapitu1"/>
          <w:rtl w:val="0"/>
        </w:rPr>
        <w:t xml:space="preserve">” </w:t>
      </w:r>
      <w:r>
        <w:rPr>
          <w:rStyle w:val="Domyślna czcionka akapitu1"/>
          <w:rtl w:val="0"/>
        </w:rPr>
        <w:t>wys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ugi emerytalnej</w:t>
      </w:r>
      <w:r>
        <w:rPr>
          <w:rStyle w:val="Domyślna czcionka akapitu1"/>
          <w:rtl w:val="0"/>
        </w:rPr>
        <w:t>”</w:t>
      </w:r>
      <w:r>
        <w:rPr>
          <w:rStyle w:val="Domyślna czcionka akapitu1"/>
          <w:rtl w:val="0"/>
        </w:rPr>
        <w:t>. Zdaniem SN sytuacja, w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rej emeryci mundurowi,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wst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pili do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przed 2 stycznia 1999 r. s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odmiennie traktowani od tych,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wst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pili do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po 1 stycznia 1999 r. narusza zasad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wnego traktowania, o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rej mowa w art. 32 Konstytucji RP. Bez wdawania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rozbieranie na cz</w:t>
      </w:r>
      <w:r>
        <w:rPr>
          <w:rStyle w:val="Domyślna czcionka akapitu1"/>
          <w:rtl w:val="0"/>
        </w:rPr>
        <w:t>ęś</w:t>
      </w:r>
      <w:r>
        <w:rPr>
          <w:rStyle w:val="Domyślna czcionka akapitu1"/>
          <w:rtl w:val="0"/>
        </w:rPr>
        <w:t>ci dalszych zawi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zyka prawniczego,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Najwy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szy uzna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 xml:space="preserve">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uzasadnione jest prawo do pobierania przez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wojskowych,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wst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pili do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przed 1 stycznia 1999 r. dw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ch emerytur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wypracowanych</w:t>
      </w:r>
      <w:r>
        <w:rPr>
          <w:rStyle w:val="Domyślna czcionka akapitu1"/>
          <w:rtl w:val="0"/>
        </w:rPr>
        <w:t xml:space="preserve">” </w:t>
      </w:r>
      <w:r>
        <w:rPr>
          <w:rStyle w:val="Domyślna czcionka akapitu1"/>
          <w:rtl w:val="0"/>
        </w:rPr>
        <w:t>niezale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nie od siebie, tzn. emerytury mundurowej oraz emerytury z powszechnego systemu emerytalnego. W rezultacie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gowy w 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odzi, zwi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zany powy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szym postanowieniem SN, wyda</w:t>
      </w:r>
      <w:r>
        <w:rPr>
          <w:rStyle w:val="Domyślna czcionka akapitu1"/>
          <w:rtl w:val="0"/>
        </w:rPr>
        <w:t xml:space="preserve">ł </w:t>
      </w:r>
      <w:r>
        <w:rPr>
          <w:rStyle w:val="Domyślna czcionka akapitu1"/>
          <w:rtl w:val="0"/>
        </w:rPr>
        <w:t>wyrok korzystny dla emeryta.</w:t>
      </w:r>
    </w:p>
    <w:p>
      <w:pPr>
        <w:pStyle w:val="Normal.0"/>
        <w:jc w:val="both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Domyślna czcionka akapitu1"/>
          <w:rtl w:val="0"/>
        </w:rPr>
        <w:t xml:space="preserve">Problem w tym,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polski system prawny nie opiera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  <w:lang w:val="it-IT"/>
        </w:rPr>
        <w:t>na precedensach.</w:t>
      </w:r>
    </w:p>
    <w:p>
      <w:pPr>
        <w:pStyle w:val="Normal.0"/>
        <w:jc w:val="both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Nie ma mowy w dyskusjach na temat dw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ch emerytur dla emeryt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 nie wojskowych! (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adna z organizacji skupiaj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cych emeryt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w MSW (i A), obowi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zana statutowo do zaj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cia stanowiska w powy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szej sprawie (SEiRP, FSSM RP i in.) nie zajmuje si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tym tematem.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*</w:t>
      </w:r>
    </w:p>
    <w:p>
      <w:pPr>
        <w:pStyle w:val="Normal.0"/>
        <w:jc w:val="both"/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Szanowni Pa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stwo 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Domyślna czcionka akapitu1"/>
          <w:rtl w:val="0"/>
        </w:rPr>
        <w:t>Celem przy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wiecaj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cym powstaniu powy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szego opracowania by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 zebranie w formie syntetycznej wielu temat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  <w:lang w:val="en-US"/>
        </w:rPr>
        <w:t>w-problem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obejmuj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zagadnienia dotycz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mundurowych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g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</w:rPr>
        <w:t>wnie tych,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obj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 zostali nowelizacjami policyjnej ustawy zaopatrzeniowej w latach 2009 i 2016.</w:t>
      </w: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***</w:t>
      </w:r>
    </w:p>
    <w:p>
      <w:pPr>
        <w:pStyle w:val="Normal.0"/>
      </w:pPr>
    </w:p>
    <w:p>
      <w:pPr>
        <w:pStyle w:val="Normal.0"/>
      </w:pPr>
      <w:r>
        <w:rPr>
          <w:u w:val="single"/>
          <w:rtl w:val="0"/>
        </w:rPr>
        <w:t>W opracowaniu  pos</w:t>
      </w:r>
      <w:r>
        <w:rPr>
          <w:u w:val="single"/>
          <w:rtl w:val="0"/>
        </w:rPr>
        <w:t>ł</w:t>
      </w:r>
      <w:r>
        <w:rPr>
          <w:u w:val="single"/>
          <w:rtl w:val="0"/>
        </w:rPr>
        <w:t>ugiwano si</w:t>
      </w:r>
      <w:r>
        <w:rPr>
          <w:u w:val="single"/>
          <w:rtl w:val="0"/>
        </w:rPr>
        <w:t xml:space="preserve">ę </w:t>
      </w:r>
      <w:r>
        <w:rPr>
          <w:u w:val="single"/>
          <w:rtl w:val="0"/>
        </w:rPr>
        <w:t>tematyk</w:t>
      </w:r>
      <w:r>
        <w:rPr>
          <w:u w:val="single"/>
          <w:rtl w:val="0"/>
        </w:rPr>
        <w:t xml:space="preserve">ą </w:t>
      </w:r>
      <w:r>
        <w:rPr>
          <w:u w:val="single"/>
          <w:rtl w:val="0"/>
        </w:rPr>
        <w:t>dotycz</w:t>
      </w:r>
      <w:r>
        <w:rPr>
          <w:u w:val="single"/>
          <w:rtl w:val="0"/>
        </w:rPr>
        <w:t>ą</w:t>
      </w:r>
      <w:r>
        <w:rPr>
          <w:u w:val="single"/>
          <w:rtl w:val="0"/>
        </w:rPr>
        <w:t>c</w:t>
      </w:r>
      <w:r>
        <w:rPr>
          <w:u w:val="single"/>
          <w:rtl w:val="0"/>
        </w:rPr>
        <w:t xml:space="preserve">ą </w:t>
      </w:r>
      <w:r>
        <w:rPr>
          <w:u w:val="single"/>
          <w:rtl w:val="0"/>
        </w:rPr>
        <w:t>:</w:t>
      </w:r>
    </w:p>
    <w:p>
      <w:pPr>
        <w:pStyle w:val="Normal.0"/>
        <w:numPr>
          <w:ilvl w:val="0"/>
          <w:numId w:val="2"/>
        </w:numPr>
      </w:pPr>
      <w:r>
        <w:rPr>
          <w:rStyle w:val="Domyślna czcionka akapitu1"/>
          <w:rtl w:val="0"/>
        </w:rPr>
        <w:t xml:space="preserve">Ustawy z dnia 23 stycznia 2009 r. o zmianie ustawy o zaopatrzeniu emerytalnym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nierzy zawodowych oraz ich rodzin oraz ustawy o zaopatrzeniu emerytalnym funkcjonariuszy Policji, Agencji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Wewn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trznego, Agencji Wywiadu,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Kontrwywiadu Wojskowego, Centralnego Biura Antykorupcyjnego, Stra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 Granicznej, Biura Ochrony 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du,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stwowej Stra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en-US"/>
        </w:rPr>
        <w:t>y Po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arnej i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en-US"/>
        </w:rPr>
        <w:t>by Wi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ziennej oraz ich rodzin.</w:t>
      </w:r>
    </w:p>
    <w:p>
      <w:pPr>
        <w:pStyle w:val="Normal.0"/>
        <w:ind w:left="72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"https://isap.sejm.gov.pl/isap.nsf/download.xsp/WDU20090240145/O/D20090145.pdf#_blank"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https://isap.sejm.gov.pl/isap.nsf/download.xsp/WDU20090240145/O/D20090145.pdf</w:t>
      </w:r>
      <w:r>
        <w:rPr/>
        <w:fldChar w:fldCharType="end" w:fldLock="0"/>
      </w:r>
    </w:p>
    <w:p>
      <w:pPr>
        <w:pStyle w:val="Normal.0"/>
        <w:numPr>
          <w:ilvl w:val="0"/>
          <w:numId w:val="2"/>
        </w:numPr>
      </w:pPr>
      <w:r>
        <w:rPr>
          <w:rStyle w:val="Domyślna czcionka akapitu1"/>
          <w:rtl w:val="0"/>
        </w:rPr>
        <w:t>Ustawy z dnia 16 grudnia 2016 r. o zmianie ustawy o zaopatrzeniu emerytalnym funkcjonariuszy Policji, Agencji Bezpiecze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stwa Wewn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trznego, Agencji Wywiadu,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Kontrwywiadu Wojskowego,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by Wywiadu Wojskowego, Centralnego Biura Antykorupcyjnego, Stra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 Granicznej, Biura Ochrony Rz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du, Pa</w:t>
      </w:r>
      <w:r>
        <w:rPr>
          <w:rStyle w:val="Domyślna czcionka akapitu1"/>
          <w:rtl w:val="0"/>
        </w:rPr>
        <w:t>ń</w:t>
      </w:r>
      <w:r>
        <w:rPr>
          <w:rStyle w:val="Domyślna czcionka akapitu1"/>
          <w:rtl w:val="0"/>
        </w:rPr>
        <w:t>stwowej Stra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en-US"/>
        </w:rPr>
        <w:t>y Po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arnej i S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u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  <w:lang w:val="en-US"/>
        </w:rPr>
        <w:t>by Wi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ziennej oraz ich rodzin.</w:t>
      </w:r>
    </w:p>
    <w:p>
      <w:pPr>
        <w:pStyle w:val="Normal.0"/>
        <w:ind w:left="72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"https://isap.sejm.gov.pl/isap.nsf/download.xsp/WDU20160002270/O/D20162270.pdf#_blank"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https://isap.sejm.gov.pl/isap.nsf/download.xsp/WDU20160002270/O/D20162270.pdf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  <w:rPr>
          <w:rStyle w:val="Brak"/>
          <w:b w:val="1"/>
          <w:bCs w:val="1"/>
        </w:rPr>
      </w:pPr>
      <w:r>
        <w:rPr>
          <w:rStyle w:val="Domyślna czcionka akapitu1"/>
          <w:rtl w:val="0"/>
        </w:rPr>
        <w:t>***</w:t>
      </w:r>
    </w:p>
    <w:p>
      <w:pPr>
        <w:pStyle w:val="Normal.0"/>
      </w:pPr>
      <w:r>
        <w:rPr>
          <w:rStyle w:val="Brak"/>
          <w:b w:val="1"/>
          <w:bCs w:val="1"/>
          <w:rtl w:val="0"/>
        </w:rPr>
        <w:t>Opracowa</w:t>
      </w:r>
      <w:r>
        <w:rPr>
          <w:rStyle w:val="Brak"/>
          <w:b w:val="1"/>
          <w:bCs w:val="1"/>
          <w:rtl w:val="0"/>
        </w:rPr>
        <w:t xml:space="preserve">ł </w:t>
      </w:r>
      <w:r>
        <w:rPr>
          <w:rStyle w:val="Brak"/>
          <w:b w:val="1"/>
          <w:bCs w:val="1"/>
          <w:rtl w:val="0"/>
        </w:rPr>
        <w:t>zesp</w:t>
      </w:r>
      <w:r>
        <w:rPr>
          <w:rStyle w:val="Brak"/>
          <w:b w:val="1"/>
          <w:bCs w:val="1"/>
          <w:rtl w:val="0"/>
        </w:rPr>
        <w:t xml:space="preserve">ół </w:t>
      </w:r>
      <w:r>
        <w:rPr>
          <w:rStyle w:val="Brak"/>
          <w:b w:val="1"/>
          <w:bCs w:val="1"/>
          <w:rtl w:val="0"/>
        </w:rPr>
        <w:t>emerytowanych funkcjonariuszy obj</w:t>
      </w:r>
      <w:r>
        <w:rPr>
          <w:rStyle w:val="Brak"/>
          <w:b w:val="1"/>
          <w:bCs w:val="1"/>
          <w:rtl w:val="0"/>
        </w:rPr>
        <w:t>ę</w:t>
      </w:r>
      <w:r>
        <w:rPr>
          <w:rStyle w:val="Brak"/>
          <w:b w:val="1"/>
          <w:bCs w:val="1"/>
          <w:rtl w:val="0"/>
        </w:rPr>
        <w:t xml:space="preserve">tych ustawami 2009 i 2016 </w:t>
      </w:r>
      <w:r>
        <w:rPr>
          <w:rStyle w:val="Brak"/>
          <w:b w:val="1"/>
          <w:bCs w:val="1"/>
          <w:rtl w:val="0"/>
        </w:rPr>
        <w:t xml:space="preserve">– </w:t>
      </w:r>
      <w:r>
        <w:rPr>
          <w:rStyle w:val="Brak"/>
          <w:b w:val="1"/>
          <w:bCs w:val="1"/>
          <w:rtl w:val="0"/>
        </w:rPr>
        <w:t>cz</w:t>
      </w:r>
      <w:r>
        <w:rPr>
          <w:rStyle w:val="Brak"/>
          <w:b w:val="1"/>
          <w:bCs w:val="1"/>
          <w:rtl w:val="0"/>
        </w:rPr>
        <w:t xml:space="preserve">ęść </w:t>
      </w:r>
      <w:r>
        <w:rPr>
          <w:rStyle w:val="Brak"/>
          <w:b w:val="1"/>
          <w:bCs w:val="1"/>
          <w:rtl w:val="0"/>
        </w:rPr>
        <w:t>przesz</w:t>
      </w:r>
      <w:r>
        <w:rPr>
          <w:rStyle w:val="Brak"/>
          <w:b w:val="1"/>
          <w:bCs w:val="1"/>
          <w:rtl w:val="0"/>
        </w:rPr>
        <w:t>ł</w:t>
      </w:r>
      <w:r>
        <w:rPr>
          <w:rStyle w:val="Brak"/>
          <w:b w:val="1"/>
          <w:bCs w:val="1"/>
          <w:rtl w:val="0"/>
        </w:rPr>
        <w:t>a etapy przed SO i SA uzyskuj</w:t>
      </w:r>
      <w:r>
        <w:rPr>
          <w:rStyle w:val="Brak"/>
          <w:b w:val="1"/>
          <w:bCs w:val="1"/>
          <w:rtl w:val="0"/>
        </w:rPr>
        <w:t>ą</w:t>
      </w:r>
      <w:r>
        <w:rPr>
          <w:rStyle w:val="Brak"/>
          <w:b w:val="1"/>
          <w:bCs w:val="1"/>
          <w:rtl w:val="0"/>
        </w:rPr>
        <w:t>c orzeczenia korzystne lub nie.</w:t>
      </w:r>
    </w:p>
    <w:p>
      <w:pPr>
        <w:pStyle w:val="Normal.0"/>
        <w:jc w:val="right"/>
      </w:pPr>
      <w:r>
        <w:rPr>
          <w:rStyle w:val="Domyślna czcionka akapitu1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line">
                  <wp:posOffset>61595</wp:posOffset>
                </wp:positionV>
                <wp:extent cx="2026920" cy="894080"/>
                <wp:effectExtent l="0" t="0" r="0" b="0"/>
                <wp:wrapSquare wrapText="bothSides" distL="0" distR="0" distT="0" distB="0"/>
                <wp:docPr id="1073741828" name="officeArt object" descr="Obraz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894080"/>
                          <a:chOff x="0" y="0"/>
                          <a:chExt cx="2026919" cy="894079"/>
                        </a:xfrm>
                      </wpg:grpSpPr>
                      <wps:wsp>
                        <wps:cNvPr id="1073741826" name="Prostokąt"/>
                        <wps:cNvSpPr/>
                        <wps:spPr>
                          <a:xfrm>
                            <a:off x="0" y="0"/>
                            <a:ext cx="2026920" cy="894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4.tif" descr="image4.t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8940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4.9pt;margin-top:4.9pt;width:159.6pt;height:70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26920,894080">
                <w10:wrap type="square" side="bothSides" anchorx="text"/>
                <v:rect id="_x0000_s1027" style="position:absolute;left:0;top:0;width:2026920;height:8940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026920;height:894080;">
                  <v:imagedata r:id="rId4" o:title="image4.png"/>
                </v:shape>
              </v:group>
            </w:pict>
          </mc:Fallback>
        </mc:AlternateContent>
      </w:r>
      <w:r>
        <w:rPr>
          <w:rStyle w:val="Brak"/>
          <w:b w:val="1"/>
          <w:bCs w:val="1"/>
          <w:rtl w:val="0"/>
        </w:rPr>
        <w:t xml:space="preserve"> (Opracowano, grudzie</w:t>
      </w:r>
      <w:r>
        <w:rPr>
          <w:rStyle w:val="Brak"/>
          <w:b w:val="1"/>
          <w:bCs w:val="1"/>
          <w:rtl w:val="0"/>
        </w:rPr>
        <w:t xml:space="preserve">ń </w:t>
      </w:r>
      <w:r>
        <w:rPr>
          <w:rStyle w:val="Brak"/>
          <w:b w:val="1"/>
          <w:bCs w:val="1"/>
          <w:rtl w:val="0"/>
        </w:rPr>
        <w:t>2023)</w:t>
      </w:r>
    </w:p>
    <w:p>
      <w:pPr>
        <w:pStyle w:val="Normal.0"/>
        <w:rPr>
          <w:rStyle w:val="Brak"/>
          <w:b w:val="1"/>
          <w:bCs w:val="1"/>
        </w:rPr>
      </w:pPr>
      <w:r>
        <w:rPr>
          <w:rStyle w:val="Domyślna czcionka akapitu1"/>
          <w:rtl w:val="0"/>
        </w:rPr>
        <w:t xml:space="preserve">* </w:t>
      </w:r>
    </w:p>
    <w:p>
      <w:pPr>
        <w:pStyle w:val="Normal.0"/>
        <w:jc w:val="both"/>
        <w:rPr>
          <w:rStyle w:val="Brak"/>
          <w:b w:val="1"/>
          <w:bCs w:val="1"/>
        </w:rPr>
      </w:pPr>
    </w:p>
    <w:p>
      <w:pPr>
        <w:pStyle w:val="Normal.0"/>
        <w:jc w:val="both"/>
        <w:rPr>
          <w:rStyle w:val="Brak"/>
          <w:b w:val="1"/>
          <w:bCs w:val="1"/>
        </w:rPr>
      </w:pPr>
    </w:p>
    <w:p>
      <w:pPr>
        <w:pStyle w:val="Normal.0"/>
        <w:jc w:val="both"/>
        <w:rPr>
          <w:rStyle w:val="Brak"/>
          <w:b w:val="1"/>
          <w:bCs w:val="1"/>
        </w:rPr>
      </w:pPr>
    </w:p>
    <w:p>
      <w:pPr>
        <w:pStyle w:val="Normal.0"/>
        <w:jc w:val="both"/>
      </w:pPr>
      <w:r>
        <w:rPr>
          <w:rStyle w:val="Brak"/>
          <w:b w:val="1"/>
          <w:bCs w:val="1"/>
          <w:rtl w:val="0"/>
        </w:rPr>
        <w:t>Uwaga:</w:t>
      </w:r>
    </w:p>
    <w:p>
      <w:pPr>
        <w:pStyle w:val="Normal.0"/>
        <w:jc w:val="both"/>
      </w:pPr>
      <w:r>
        <w:rPr>
          <w:rStyle w:val="Domyślna czcionka akapitu1"/>
          <w:rtl w:val="0"/>
        </w:rPr>
        <w:t>W niniejszym opracowaniu niezb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dnym jest uj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cie tematyki dotycz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cej emeryt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rencist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obj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tych nowelizacjami policyjnych ustaw zaopatrzeniowych 2009 i 2016, okre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lonych w poni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szych tezach, nie mieszcz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cych si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 xml:space="preserve">w 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adnym z omawianych dzia</w:t>
      </w:r>
      <w:r>
        <w:rPr>
          <w:rStyle w:val="Domyślna czcionka akapitu1"/>
          <w:rtl w:val="0"/>
        </w:rPr>
        <w:t>łó</w:t>
      </w:r>
      <w:r>
        <w:rPr>
          <w:rStyle w:val="Domyślna czcionka akapitu1"/>
          <w:rtl w:val="0"/>
          <w:lang w:val="en-US"/>
        </w:rPr>
        <w:t>w :</w:t>
      </w:r>
    </w:p>
    <w:p>
      <w:pPr>
        <w:pStyle w:val="Normal.0"/>
        <w:numPr>
          <w:ilvl w:val="0"/>
          <w:numId w:val="4"/>
        </w:numPr>
        <w:jc w:val="both"/>
      </w:pPr>
      <w:r>
        <w:rPr>
          <w:rStyle w:val="Domyślna czcionka akapitu1"/>
          <w:rtl w:val="0"/>
        </w:rPr>
        <w:t>sytuacja dotycz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  <w:lang w:val="pt-PT"/>
        </w:rPr>
        <w:t>ca 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b obj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tych ustaw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2016,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nie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yli odwo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  <w:lang w:val="es-ES_tradnl"/>
        </w:rPr>
        <w:t>do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w, a tak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 ich rodzin (wd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i sierot),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mog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odzyska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i uzyskuj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tylko w wysoko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ustanowionej ustaw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2016;</w:t>
      </w:r>
    </w:p>
    <w:p>
      <w:pPr>
        <w:pStyle w:val="Normal.0"/>
        <w:numPr>
          <w:ilvl w:val="0"/>
          <w:numId w:val="4"/>
        </w:numPr>
        <w:jc w:val="both"/>
      </w:pPr>
      <w:r>
        <w:rPr>
          <w:rStyle w:val="Domyślna czcionka akapitu1"/>
          <w:rtl w:val="0"/>
        </w:rPr>
        <w:t>sytuacja dotycz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  <w:lang w:val="pt-PT"/>
        </w:rPr>
        <w:t>ca os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b obj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tych ustaw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2016, kt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rzy wyrokami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Apelacyjnych lub 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 Okr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gowych </w:t>
      </w:r>
      <w:r>
        <w:rPr>
          <w:rStyle w:val="Domyślna czcionka akapitu1"/>
          <w:rtl w:val="0"/>
        </w:rPr>
        <w:t>„</w:t>
      </w:r>
      <w:r>
        <w:rPr>
          <w:rStyle w:val="Domyślna czcionka akapitu1"/>
          <w:rtl w:val="0"/>
        </w:rPr>
        <w:t>utkn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li</w:t>
      </w:r>
      <w:r>
        <w:rPr>
          <w:rStyle w:val="Domyślna czcionka akapitu1"/>
          <w:rtl w:val="0"/>
        </w:rPr>
        <w:t xml:space="preserve">” </w:t>
      </w:r>
      <w:r>
        <w:rPr>
          <w:rStyle w:val="Domyślna czcionka akapitu1"/>
          <w:rtl w:val="0"/>
        </w:rPr>
        <w:t>w swoistym niebycie prawnym wynikaj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cym z (co najmniej) niew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a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ciwej i m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ciwej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liwo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  <w:lang w:val="it-IT"/>
        </w:rPr>
        <w:t>ci s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>dzi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 xml:space="preserve">w </w:t>
      </w:r>
      <w:r>
        <w:rPr>
          <w:rStyle w:val="Domyślna czcionka akapitu1"/>
          <w:rtl w:val="0"/>
        </w:rPr>
        <w:t xml:space="preserve">– </w:t>
      </w:r>
      <w:r>
        <w:rPr>
          <w:rStyle w:val="Domyślna czcionka akapitu1"/>
          <w:rtl w:val="0"/>
        </w:rPr>
        <w:t>oczekiwanie na kasacje, inne.</w:t>
      </w:r>
    </w:p>
    <w:p>
      <w:pPr>
        <w:pStyle w:val="Body Text"/>
        <w:numPr>
          <w:ilvl w:val="0"/>
          <w:numId w:val="4"/>
        </w:numPr>
        <w:jc w:val="both"/>
      </w:pPr>
      <w:r>
        <w:rPr>
          <w:rStyle w:val="Domyślna czcionka akapitu1"/>
          <w:rtl w:val="0"/>
        </w:rPr>
        <w:t>S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przypadki, gdy na skutek ogranicze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</w:rPr>
        <w:t>proceduralnych i nieszcz</w:t>
      </w:r>
      <w:r>
        <w:rPr>
          <w:rStyle w:val="Domyślna czcionka akapitu1"/>
          <w:rtl w:val="0"/>
        </w:rPr>
        <w:t>ęś</w:t>
      </w:r>
      <w:r>
        <w:rPr>
          <w:rStyle w:val="Domyślna czcionka akapitu1"/>
          <w:rtl w:val="0"/>
        </w:rPr>
        <w:t>liwego zbiegu okoliczno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 (np. brak powiadomienia przez Poczt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Polsk</w:t>
      </w:r>
      <w:r>
        <w:rPr>
          <w:rStyle w:val="Domyślna czcionka akapitu1"/>
          <w:rtl w:val="0"/>
        </w:rPr>
        <w:t xml:space="preserve">ą </w:t>
      </w:r>
      <w:r>
        <w:rPr>
          <w:rStyle w:val="Domyślna czcionka akapitu1"/>
          <w:rtl w:val="0"/>
        </w:rPr>
        <w:t>i odrzucenie wniosku o przywr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cenie terminu do z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enia apelacji) zamkni</w:t>
      </w:r>
      <w:r>
        <w:rPr>
          <w:rStyle w:val="Domyślna czcionka akapitu1"/>
          <w:rtl w:val="0"/>
        </w:rPr>
        <w:t>ę</w:t>
      </w:r>
      <w:r>
        <w:rPr>
          <w:rStyle w:val="Domyślna czcionka akapitu1"/>
          <w:rtl w:val="0"/>
        </w:rPr>
        <w:t xml:space="preserve">to w SA </w:t>
      </w:r>
      <w:r>
        <w:rPr>
          <w:rStyle w:val="Domyślna czcionka akapitu1"/>
          <w:rtl w:val="0"/>
        </w:rPr>
        <w:t>ś</w:t>
      </w:r>
      <w:r>
        <w:rPr>
          <w:rStyle w:val="Domyślna czcionka akapitu1"/>
          <w:rtl w:val="0"/>
        </w:rPr>
        <w:t>cie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k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prawn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. Jedynym ratunkiem jest 1) zmiana ustawy, 2) uznanie przez TK obecnej ustawy z 2016 r. za niekonstytucyjn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  <w:lang w:val="de-DE"/>
        </w:rPr>
        <w:t>. W</w:t>
      </w:r>
      <w:r>
        <w:rPr>
          <w:rStyle w:val="Domyślna czcionka akapitu1"/>
          <w:rtl w:val="0"/>
          <w:lang w:val="es-ES_tradnl"/>
        </w:rPr>
        <w:t>ó</w:t>
      </w:r>
      <w:r>
        <w:rPr>
          <w:rStyle w:val="Domyślna czcionka akapitu1"/>
          <w:rtl w:val="0"/>
        </w:rPr>
        <w:t>wczas mo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na wszcz</w:t>
      </w:r>
      <w:r>
        <w:rPr>
          <w:rStyle w:val="Domyślna czcionka akapitu1"/>
          <w:rtl w:val="0"/>
        </w:rPr>
        <w:t xml:space="preserve">ąć </w:t>
      </w:r>
      <w:r>
        <w:rPr>
          <w:rStyle w:val="Domyślna czcionka akapitu1"/>
          <w:rtl w:val="0"/>
        </w:rPr>
        <w:t>spraw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od pocz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tku, tzn. zaskar</w:t>
      </w:r>
      <w:r>
        <w:rPr>
          <w:rStyle w:val="Domyślna czcionka akapitu1"/>
          <w:rtl w:val="0"/>
        </w:rPr>
        <w:t>ż</w:t>
      </w:r>
      <w:r>
        <w:rPr>
          <w:rStyle w:val="Domyślna czcionka akapitu1"/>
          <w:rtl w:val="0"/>
        </w:rPr>
        <w:t>y</w:t>
      </w:r>
      <w:r>
        <w:rPr>
          <w:rStyle w:val="Domyślna czcionka akapitu1"/>
          <w:rtl w:val="0"/>
        </w:rPr>
        <w:t xml:space="preserve">ć </w:t>
      </w:r>
      <w:r>
        <w:rPr>
          <w:rStyle w:val="Domyślna czcionka akapitu1"/>
          <w:rtl w:val="0"/>
        </w:rPr>
        <w:t>decyzj</w:t>
      </w:r>
      <w:r>
        <w:rPr>
          <w:rStyle w:val="Domyślna czcionka akapitu1"/>
          <w:rtl w:val="0"/>
        </w:rPr>
        <w:t xml:space="preserve">ę </w:t>
      </w:r>
      <w:r>
        <w:rPr>
          <w:rStyle w:val="Domyślna czcionka akapitu1"/>
          <w:rtl w:val="0"/>
        </w:rPr>
        <w:t>w SO, potem w SA (S</w:t>
      </w:r>
      <w:r>
        <w:rPr>
          <w:rStyle w:val="Domyślna czcionka akapitu1"/>
          <w:rtl w:val="0"/>
        </w:rPr>
        <w:t>ą</w:t>
      </w:r>
      <w:r>
        <w:rPr>
          <w:rStyle w:val="Domyślna czcionka akapitu1"/>
          <w:rtl w:val="0"/>
        </w:rPr>
        <w:t>dy Pracy i Ubezpiecze</w:t>
      </w:r>
      <w:r>
        <w:rPr>
          <w:rStyle w:val="Domyślna czcionka akapitu1"/>
          <w:rtl w:val="0"/>
        </w:rPr>
        <w:t xml:space="preserve">ń </w:t>
      </w:r>
      <w:r>
        <w:rPr>
          <w:rStyle w:val="Domyślna czcionka akapitu1"/>
          <w:rtl w:val="0"/>
          <w:lang w:val="nl-NL"/>
        </w:rPr>
        <w:t>Spo</w:t>
      </w:r>
      <w:r>
        <w:rPr>
          <w:rStyle w:val="Domyślna czcionka akapitu1"/>
          <w:rtl w:val="0"/>
        </w:rPr>
        <w:t>ł</w:t>
      </w:r>
      <w:r>
        <w:rPr>
          <w:rStyle w:val="Domyślna czcionka akapitu1"/>
          <w:rtl w:val="0"/>
        </w:rPr>
        <w:t>ecznych).</w:t>
      </w:r>
    </w:p>
    <w:p>
      <w:pPr>
        <w:pStyle w:val="Body Text"/>
        <w:ind w:left="360" w:firstLine="0"/>
        <w:jc w:val="both"/>
      </w:pPr>
    </w:p>
    <w:p>
      <w:pPr>
        <w:pStyle w:val="Normal.0"/>
        <w:jc w:val="both"/>
      </w:pPr>
    </w:p>
    <w:p>
      <w:pPr>
        <w:pStyle w:val="Body Text"/>
      </w:pPr>
      <w:r>
        <w:rPr>
          <w:rStyle w:val="Domyślna czcionka akapitu1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headerReference w:type="default" r:id="rId5"/>
      <w:footerReference w:type="default" r:id="rId6"/>
      <w:pgSz w:w="11900" w:h="16840" w:orient="portrait"/>
      <w:pgMar w:top="708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Prostoką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3"/>
  </w:abstractNum>
  <w:abstractNum w:abstractNumId="3">
    <w:multiLevelType w:val="hybridMultilevel"/>
    <w:styleLink w:val="Zaimportowany styl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Domyślna czcionka akapitu1">
    <w:name w:val="Domyślna czcionka akapitu1"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80"/>
      <w:u w:val="single" w:color="000080"/>
      <w14:textFill>
        <w14:solidFill>
          <w14:srgbClr w14:val="000080"/>
        </w14:solidFill>
      </w14:textFill>
    </w:rPr>
  </w:style>
  <w:style w:type="paragraph" w:styleId="Zawartość tabeli">
    <w:name w:val="Zawartość tabeli"/>
    <w:next w:val="Zawartość tabeli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2">
    <w:name w:val="Zaimportowany styl 2"/>
    <w:pPr>
      <w:numPr>
        <w:numId w:val="1"/>
      </w:numPr>
    </w:pPr>
  </w:style>
  <w:style w:type="character" w:styleId="Brak">
    <w:name w:val="Brak"/>
  </w:style>
  <w:style w:type="character" w:styleId="Hyperlink.1">
    <w:name w:val="Hyperlink.1"/>
    <w:basedOn w:val="Brak"/>
    <w:next w:val="Hyperlink.1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Zaimportowany styl 3">
    <w:name w:val="Zaimportowany styl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