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28"/>
          <w:szCs w:val="28"/>
        </w:rPr>
        <w:t xml:space="preserve">Employee Attrition — What the Data Tells Us</w:t>
      </w:r>
    </w:p>
    <w:p>
      <w:pPr>
        <w:pBdr>
          <w:bottom w:val="single" w:color="1F3864" w:sz="6" w:space="4"/>
        </w:pBdr>
        <w:spacing w:after="140"/>
      </w:pPr>
      <w:r>
        <w:rPr>
          <w:rFonts w:ascii="Arial" w:cs="Arial" w:eastAsia="Arial" w:hAnsi="Arial"/>
          <w:i/>
          <w:iCs/>
          <w:color w:val="777777"/>
          <w:sz w:val="16"/>
          <w:szCs w:val="16"/>
        </w:rPr>
        <w:t xml:space="preserve">Prepared by Shaik Atif Furkan  |  Internship Project, Week 2  |  Based on 1,470 employee records</w:t>
      </w:r>
    </w:p>
    <w:p>
      <w:pPr>
        <w:pBdr>
          <w:bottom w:val="single" w:color="C0392B" w:sz="4" w:space="1"/>
        </w:pBdr>
        <w:spacing w:after="70" w:before="160"/>
      </w:pPr>
      <w:r>
        <w:rPr>
          <w:rFonts w:ascii="Arial" w:cs="Arial" w:eastAsia="Arial" w:hAnsi="Arial"/>
          <w:b/>
          <w:bCs/>
          <w:color w:val="C0392B"/>
          <w:sz w:val="22"/>
          <w:szCs w:val="22"/>
        </w:rPr>
        <w:t xml:space="preserve">The Headline</w:t>
      </w:r>
    </w:p>
    <w:p>
      <w:pPr>
        <w:spacing w:after="80"/>
      </w:pPr>
      <w:r>
        <w:rPr>
          <w:rFonts w:ascii="Arial" w:cs="Arial" w:eastAsia="Arial" w:hAnsi="Arial"/>
          <w:b w:val="false"/>
          <w:bCs w:val="false"/>
          <w:i w:val="false"/>
          <w:iCs w:val="false"/>
          <w:color w:val="000000"/>
          <w:sz w:val="19"/>
          <w:szCs w:val="19"/>
        </w:rPr>
        <w:t xml:space="preserve">Analysis of 1,470 employee records shows that 237 people — roughly 1 in 6 — left the company, a 16% attrition rate. The important finding is not the overall number, but who is leaving and why. Certain roles and working conditions drive exits at two to three times the company average, and these are patterns the company can act on today.</w:t>
      </w:r>
    </w:p>
    <w:p>
      <w:pPr>
        <w:pBdr>
          <w:bottom w:val="single" w:color="C0392B" w:sz="4" w:space="1"/>
        </w:pBdr>
        <w:spacing w:after="70" w:before="160"/>
      </w:pPr>
      <w:r>
        <w:rPr>
          <w:rFonts w:ascii="Arial" w:cs="Arial" w:eastAsia="Arial" w:hAnsi="Arial"/>
          <w:b/>
          <w:bCs/>
          <w:color w:val="C0392B"/>
          <w:sz w:val="22"/>
          <w:szCs w:val="22"/>
        </w:rPr>
        <w:t xml:space="preserve">Who Is Leaving — and Why</w:t>
      </w:r>
    </w:p>
    <w:p>
      <w:pPr>
        <w:spacing w:after="70"/>
      </w:pPr>
      <w:r>
        <w:rPr>
          <w:rFonts w:ascii="Arial" w:cs="Arial" w:eastAsia="Arial" w:hAnsi="Arial"/>
          <w:b w:val="false"/>
          <w:bCs w:val="false"/>
          <w:i w:val="false"/>
          <w:iCs w:val="false"/>
          <w:color w:val="000000"/>
          <w:sz w:val="19"/>
          <w:szCs w:val="19"/>
        </w:rPr>
        <w:t xml:space="preserve">Five warning signs strongly predict whether an employee will leave. When multiple apply to the same person, risk compounds: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20"/>
        <w:gridCol w:w="1920"/>
        <w:gridCol w:w="2320"/>
      </w:tblGrid>
      <w:tr>
        <w:tc>
          <w:tcPr>
            <w:tcW w:type="dxa" w:w="3200"/>
            <w:tcBorders>
              <w:top w:val="single" w:color="DDDDDD" w:sz="1"/>
              <w:left w:val="single" w:color="DDDDDD" w:sz="1"/>
              <w:bottom w:val="single" w:color="DDDDDD" w:sz="1"/>
              <w:right w:val="single" w:color="DDDDDD" w:sz="1"/>
            </w:tcBorders>
            <w:shd w:fill="1F3864"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Warning Sign</w:t>
            </w:r>
          </w:p>
        </w:tc>
        <w:tc>
          <w:tcPr>
            <w:tcW w:type="dxa" w:w="1920"/>
            <w:tcBorders>
              <w:top w:val="single" w:color="DDDDDD" w:sz="1"/>
              <w:left w:val="single" w:color="DDDDDD" w:sz="1"/>
              <w:bottom w:val="single" w:color="DDDDDD" w:sz="1"/>
              <w:right w:val="single" w:color="DDDDDD" w:sz="1"/>
            </w:tcBorders>
            <w:shd w:fill="1F3864"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Employees</w:t>
            </w:r>
          </w:p>
        </w:tc>
        <w:tc>
          <w:tcPr>
            <w:tcW w:type="dxa" w:w="1920"/>
            <w:tcBorders>
              <w:top w:val="single" w:color="DDDDDD" w:sz="1"/>
              <w:left w:val="single" w:color="DDDDDD" w:sz="1"/>
              <w:bottom w:val="single" w:color="DDDDDD" w:sz="1"/>
              <w:right w:val="single" w:color="DDDDDD" w:sz="1"/>
            </w:tcBorders>
            <w:shd w:fill="1F3864"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Exit Rate</w:t>
            </w:r>
          </w:p>
        </w:tc>
        <w:tc>
          <w:tcPr>
            <w:tcW w:type="dxa" w:w="2320"/>
            <w:tcBorders>
              <w:top w:val="single" w:color="DDDDDD" w:sz="1"/>
              <w:left w:val="single" w:color="DDDDDD" w:sz="1"/>
              <w:bottom w:val="single" w:color="DDDDDD" w:sz="1"/>
              <w:right w:val="single" w:color="DDDDDD" w:sz="1"/>
            </w:tcBorders>
            <w:shd w:fill="1F3864"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vs Company Average (16%)</w:t>
            </w:r>
          </w:p>
        </w:tc>
      </w:tr>
      <w:tr>
        <w:tc>
          <w:tcPr>
            <w:tcW w:type="dxa" w:w="3200"/>
            <w:tcBorders>
              <w:top w:val="single" w:color="DDDDDD" w:sz="1"/>
              <w:left w:val="single" w:color="DDDDDD" w:sz="1"/>
              <w:bottom w:val="single" w:color="DDDDDD" w:sz="1"/>
              <w:right w:val="single" w:color="DDDDDD" w:sz="1"/>
            </w:tcBorders>
            <w:shd w:fill="FDF2F2" w:val="clear"/>
            <w:tcMar>
              <w:top w:type="dxa" w:w="70"/>
              <w:left w:type="dxa" w:w="120"/>
              <w:bottom w:type="dxa" w:w="70"/>
              <w:right w:type="dxa" w:w="120"/>
            </w:tcMar>
          </w:tcPr>
          <w:p>
            <w:pPr>
              <w:jc w:val="center"/>
            </w:pPr>
            <w:r>
              <w:rPr>
                <w:rFonts w:ascii="Arial" w:cs="Arial" w:eastAsia="Arial" w:hAnsi="Arial"/>
                <w:sz w:val="17"/>
                <w:szCs w:val="17"/>
              </w:rPr>
              <w:t xml:space="preserve">Working overtime regularly</w:t>
            </w:r>
          </w:p>
        </w:tc>
        <w:tc>
          <w:tcPr>
            <w:tcW w:type="dxa" w:w="1920"/>
            <w:tcBorders>
              <w:top w:val="single" w:color="DDDDDD" w:sz="1"/>
              <w:left w:val="single" w:color="DDDDDD" w:sz="1"/>
              <w:bottom w:val="single" w:color="DDDDDD" w:sz="1"/>
              <w:right w:val="single" w:color="DDDDDD" w:sz="1"/>
            </w:tcBorders>
            <w:shd w:fill="FDF2F2" w:val="clear"/>
            <w:tcMar>
              <w:top w:type="dxa" w:w="70"/>
              <w:left w:type="dxa" w:w="120"/>
              <w:bottom w:type="dxa" w:w="70"/>
              <w:right w:type="dxa" w:w="120"/>
            </w:tcMar>
          </w:tcPr>
          <w:p>
            <w:pPr>
              <w:jc w:val="center"/>
            </w:pPr>
            <w:r>
              <w:rPr>
                <w:rFonts w:ascii="Arial" w:cs="Arial" w:eastAsia="Arial" w:hAnsi="Arial"/>
                <w:sz w:val="17"/>
                <w:szCs w:val="17"/>
              </w:rPr>
              <w:t xml:space="preserve">417</w:t>
            </w:r>
          </w:p>
        </w:tc>
        <w:tc>
          <w:tcPr>
            <w:tcW w:type="dxa" w:w="1920"/>
            <w:tcBorders>
              <w:top w:val="single" w:color="DDDDDD" w:sz="1"/>
              <w:left w:val="single" w:color="DDDDDD" w:sz="1"/>
              <w:bottom w:val="single" w:color="DDDDDD" w:sz="1"/>
              <w:right w:val="single" w:color="DDDDDD" w:sz="1"/>
            </w:tcBorders>
            <w:shd w:fill="FDF2F2" w:val="clear"/>
            <w:tcMar>
              <w:top w:type="dxa" w:w="70"/>
              <w:left w:type="dxa" w:w="120"/>
              <w:bottom w:type="dxa" w:w="70"/>
              <w:right w:type="dxa" w:w="120"/>
            </w:tcMar>
          </w:tcPr>
          <w:p>
            <w:pPr>
              <w:jc w:val="center"/>
            </w:pPr>
            <w:r>
              <w:rPr>
                <w:rFonts w:ascii="Arial" w:cs="Arial" w:eastAsia="Arial" w:hAnsi="Arial"/>
                <w:sz w:val="17"/>
                <w:szCs w:val="17"/>
              </w:rPr>
              <w:t xml:space="preserve">30.5%</w:t>
            </w:r>
          </w:p>
        </w:tc>
        <w:tc>
          <w:tcPr>
            <w:tcW w:type="dxa" w:w="2320"/>
            <w:tcBorders>
              <w:top w:val="single" w:color="DDDDDD" w:sz="1"/>
              <w:left w:val="single" w:color="DDDDDD" w:sz="1"/>
              <w:bottom w:val="single" w:color="DDDDDD" w:sz="1"/>
              <w:right w:val="single" w:color="DDDDDD" w:sz="1"/>
            </w:tcBorders>
            <w:shd w:fill="FDF2F2" w:val="clear"/>
            <w:tcMar>
              <w:top w:type="dxa" w:w="70"/>
              <w:left w:type="dxa" w:w="120"/>
              <w:bottom w:type="dxa" w:w="70"/>
              <w:right w:type="dxa" w:w="120"/>
            </w:tcMar>
          </w:tcPr>
          <w:p>
            <w:pPr>
              <w:jc w:val="center"/>
            </w:pPr>
            <w:r>
              <w:rPr>
                <w:rFonts w:ascii="Arial" w:cs="Arial" w:eastAsia="Arial" w:hAnsi="Arial"/>
                <w:sz w:val="17"/>
                <w:szCs w:val="17"/>
              </w:rPr>
              <w:t xml:space="preserve">Nearly 3× higher</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17"/>
                <w:szCs w:val="17"/>
              </w:rPr>
              <w:t xml:space="preserve">Sales Representative role</w:t>
            </w:r>
          </w:p>
        </w:tc>
        <w:tc>
          <w:tcPr>
            <w:tcW w:type="dxa" w:w="19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17"/>
                <w:szCs w:val="17"/>
              </w:rPr>
              <w:t xml:space="preserve">83</w:t>
            </w:r>
          </w:p>
        </w:tc>
        <w:tc>
          <w:tcPr>
            <w:tcW w:type="dxa" w:w="19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17"/>
                <w:szCs w:val="17"/>
              </w:rPr>
              <w:t xml:space="preserve">39.8%</w:t>
            </w:r>
          </w:p>
        </w:tc>
        <w:tc>
          <w:tcPr>
            <w:tcW w:type="dxa" w:w="23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17"/>
                <w:szCs w:val="17"/>
              </w:rPr>
              <w:t xml:space="preserve">2.5× higher</w:t>
            </w:r>
          </w:p>
        </w:tc>
      </w:tr>
      <w:tr>
        <w:tc>
          <w:tcPr>
            <w:tcW w:type="dxa" w:w="3200"/>
            <w:tcBorders>
              <w:top w:val="single" w:color="DDDDDD" w:sz="1"/>
              <w:left w:val="single" w:color="DDDDDD" w:sz="1"/>
              <w:bottom w:val="single" w:color="DDDDDD" w:sz="1"/>
              <w:right w:val="single" w:color="DDDDDD" w:sz="1"/>
            </w:tcBorders>
            <w:shd w:fill="FDF2F2" w:val="clear"/>
            <w:tcMar>
              <w:top w:type="dxa" w:w="70"/>
              <w:left w:type="dxa" w:w="120"/>
              <w:bottom w:type="dxa" w:w="70"/>
              <w:right w:type="dxa" w:w="120"/>
            </w:tcMar>
          </w:tcPr>
          <w:p>
            <w:pPr>
              <w:jc w:val="center"/>
            </w:pPr>
            <w:r>
              <w:rPr>
                <w:rFonts w:ascii="Arial" w:cs="Arial" w:eastAsia="Arial" w:hAnsi="Arial"/>
                <w:sz w:val="17"/>
                <w:szCs w:val="17"/>
              </w:rPr>
              <w:t xml:space="preserve">Frequent business travel</w:t>
            </w:r>
          </w:p>
        </w:tc>
        <w:tc>
          <w:tcPr>
            <w:tcW w:type="dxa" w:w="1920"/>
            <w:tcBorders>
              <w:top w:val="single" w:color="DDDDDD" w:sz="1"/>
              <w:left w:val="single" w:color="DDDDDD" w:sz="1"/>
              <w:bottom w:val="single" w:color="DDDDDD" w:sz="1"/>
              <w:right w:val="single" w:color="DDDDDD" w:sz="1"/>
            </w:tcBorders>
            <w:shd w:fill="FDF2F2" w:val="clear"/>
            <w:tcMar>
              <w:top w:type="dxa" w:w="70"/>
              <w:left w:type="dxa" w:w="120"/>
              <w:bottom w:type="dxa" w:w="70"/>
              <w:right w:type="dxa" w:w="120"/>
            </w:tcMar>
          </w:tcPr>
          <w:p>
            <w:pPr>
              <w:jc w:val="center"/>
            </w:pPr>
            <w:r>
              <w:rPr>
                <w:rFonts w:ascii="Arial" w:cs="Arial" w:eastAsia="Arial" w:hAnsi="Arial"/>
                <w:sz w:val="17"/>
                <w:szCs w:val="17"/>
              </w:rPr>
              <w:t xml:space="preserve">277</w:t>
            </w:r>
          </w:p>
        </w:tc>
        <w:tc>
          <w:tcPr>
            <w:tcW w:type="dxa" w:w="1920"/>
            <w:tcBorders>
              <w:top w:val="single" w:color="DDDDDD" w:sz="1"/>
              <w:left w:val="single" w:color="DDDDDD" w:sz="1"/>
              <w:bottom w:val="single" w:color="DDDDDD" w:sz="1"/>
              <w:right w:val="single" w:color="DDDDDD" w:sz="1"/>
            </w:tcBorders>
            <w:shd w:fill="FDF2F2" w:val="clear"/>
            <w:tcMar>
              <w:top w:type="dxa" w:w="70"/>
              <w:left w:type="dxa" w:w="120"/>
              <w:bottom w:type="dxa" w:w="70"/>
              <w:right w:type="dxa" w:w="120"/>
            </w:tcMar>
          </w:tcPr>
          <w:p>
            <w:pPr>
              <w:jc w:val="center"/>
            </w:pPr>
            <w:r>
              <w:rPr>
                <w:rFonts w:ascii="Arial" w:cs="Arial" w:eastAsia="Arial" w:hAnsi="Arial"/>
                <w:sz w:val="17"/>
                <w:szCs w:val="17"/>
              </w:rPr>
              <w:t xml:space="preserve">~24%</w:t>
            </w:r>
          </w:p>
        </w:tc>
        <w:tc>
          <w:tcPr>
            <w:tcW w:type="dxa" w:w="2320"/>
            <w:tcBorders>
              <w:top w:val="single" w:color="DDDDDD" w:sz="1"/>
              <w:left w:val="single" w:color="DDDDDD" w:sz="1"/>
              <w:bottom w:val="single" w:color="DDDDDD" w:sz="1"/>
              <w:right w:val="single" w:color="DDDDDD" w:sz="1"/>
            </w:tcBorders>
            <w:shd w:fill="FDF2F2" w:val="clear"/>
            <w:tcMar>
              <w:top w:type="dxa" w:w="70"/>
              <w:left w:type="dxa" w:w="120"/>
              <w:bottom w:type="dxa" w:w="70"/>
              <w:right w:type="dxa" w:w="120"/>
            </w:tcMar>
          </w:tcPr>
          <w:p>
            <w:pPr>
              <w:jc w:val="center"/>
            </w:pPr>
            <w:r>
              <w:rPr>
                <w:rFonts w:ascii="Arial" w:cs="Arial" w:eastAsia="Arial" w:hAnsi="Arial"/>
                <w:sz w:val="17"/>
                <w:szCs w:val="17"/>
              </w:rPr>
              <w:t xml:space="preserve">1.5× higher</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17"/>
                <w:szCs w:val="17"/>
              </w:rPr>
              <w:t xml:space="preserve">Poor work-life balance (self-rated)</w:t>
            </w:r>
          </w:p>
        </w:tc>
        <w:tc>
          <w:tcPr>
            <w:tcW w:type="dxa" w:w="19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17"/>
                <w:szCs w:val="17"/>
              </w:rPr>
              <w:t xml:space="preserve">80</w:t>
            </w:r>
          </w:p>
        </w:tc>
        <w:tc>
          <w:tcPr>
            <w:tcW w:type="dxa" w:w="19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17"/>
                <w:szCs w:val="17"/>
              </w:rPr>
              <w:t xml:space="preserve">31.3%</w:t>
            </w:r>
          </w:p>
        </w:tc>
        <w:tc>
          <w:tcPr>
            <w:tcW w:type="dxa" w:w="23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sz w:val="17"/>
                <w:szCs w:val="17"/>
              </w:rPr>
              <w:t xml:space="preserve">Twice the average</w:t>
            </w:r>
          </w:p>
        </w:tc>
      </w:tr>
      <w:tr>
        <w:tc>
          <w:tcPr>
            <w:tcW w:type="dxa" w:w="3200"/>
            <w:tcBorders>
              <w:top w:val="single" w:color="DDDDDD" w:sz="1"/>
              <w:left w:val="single" w:color="DDDDDD" w:sz="1"/>
              <w:bottom w:val="single" w:color="DDDDDD" w:sz="1"/>
              <w:right w:val="single" w:color="DDDDDD" w:sz="1"/>
            </w:tcBorders>
            <w:shd w:fill="FDF2F2" w:val="clear"/>
            <w:tcMar>
              <w:top w:type="dxa" w:w="70"/>
              <w:left w:type="dxa" w:w="120"/>
              <w:bottom w:type="dxa" w:w="70"/>
              <w:right w:type="dxa" w:w="120"/>
            </w:tcMar>
          </w:tcPr>
          <w:p>
            <w:pPr>
              <w:jc w:val="center"/>
            </w:pPr>
            <w:r>
              <w:rPr>
                <w:rFonts w:ascii="Arial" w:cs="Arial" w:eastAsia="Arial" w:hAnsi="Arial"/>
                <w:sz w:val="17"/>
                <w:szCs w:val="17"/>
              </w:rPr>
              <w:t xml:space="preserve">Tenure under 3 years</w:t>
            </w:r>
          </w:p>
        </w:tc>
        <w:tc>
          <w:tcPr>
            <w:tcW w:type="dxa" w:w="1920"/>
            <w:tcBorders>
              <w:top w:val="single" w:color="DDDDDD" w:sz="1"/>
              <w:left w:val="single" w:color="DDDDDD" w:sz="1"/>
              <w:bottom w:val="single" w:color="DDDDDD" w:sz="1"/>
              <w:right w:val="single" w:color="DDDDDD" w:sz="1"/>
            </w:tcBorders>
            <w:shd w:fill="FDF2F2" w:val="clear"/>
            <w:tcMar>
              <w:top w:type="dxa" w:w="70"/>
              <w:left w:type="dxa" w:w="120"/>
              <w:bottom w:type="dxa" w:w="70"/>
              <w:right w:type="dxa" w:w="120"/>
            </w:tcMar>
          </w:tcPr>
          <w:p>
            <w:pPr>
              <w:jc w:val="center"/>
            </w:pPr>
            <w:r>
              <w:rPr>
                <w:rFonts w:ascii="Arial" w:cs="Arial" w:eastAsia="Arial" w:hAnsi="Arial"/>
                <w:sz w:val="17"/>
                <w:szCs w:val="17"/>
              </w:rPr>
              <w:t xml:space="preserve">~390</w:t>
            </w:r>
          </w:p>
        </w:tc>
        <w:tc>
          <w:tcPr>
            <w:tcW w:type="dxa" w:w="1920"/>
            <w:tcBorders>
              <w:top w:val="single" w:color="DDDDDD" w:sz="1"/>
              <w:left w:val="single" w:color="DDDDDD" w:sz="1"/>
              <w:bottom w:val="single" w:color="DDDDDD" w:sz="1"/>
              <w:right w:val="single" w:color="DDDDDD" w:sz="1"/>
            </w:tcBorders>
            <w:shd w:fill="FDF2F2" w:val="clear"/>
            <w:tcMar>
              <w:top w:type="dxa" w:w="70"/>
              <w:left w:type="dxa" w:w="120"/>
              <w:bottom w:type="dxa" w:w="70"/>
              <w:right w:type="dxa" w:w="120"/>
            </w:tcMar>
          </w:tcPr>
          <w:p>
            <w:pPr>
              <w:jc w:val="center"/>
            </w:pPr>
            <w:r>
              <w:rPr>
                <w:rFonts w:ascii="Arial" w:cs="Arial" w:eastAsia="Arial" w:hAnsi="Arial"/>
                <w:sz w:val="17"/>
                <w:szCs w:val="17"/>
              </w:rPr>
              <w:t xml:space="preserve">~25%</w:t>
            </w:r>
          </w:p>
        </w:tc>
        <w:tc>
          <w:tcPr>
            <w:tcW w:type="dxa" w:w="2320"/>
            <w:tcBorders>
              <w:top w:val="single" w:color="DDDDDD" w:sz="1"/>
              <w:left w:val="single" w:color="DDDDDD" w:sz="1"/>
              <w:bottom w:val="single" w:color="DDDDDD" w:sz="1"/>
              <w:right w:val="single" w:color="DDDDDD" w:sz="1"/>
            </w:tcBorders>
            <w:shd w:fill="FDF2F2" w:val="clear"/>
            <w:tcMar>
              <w:top w:type="dxa" w:w="70"/>
              <w:left w:type="dxa" w:w="120"/>
              <w:bottom w:type="dxa" w:w="70"/>
              <w:right w:type="dxa" w:w="120"/>
            </w:tcMar>
          </w:tcPr>
          <w:p>
            <w:pPr>
              <w:jc w:val="center"/>
            </w:pPr>
            <w:r>
              <w:rPr>
                <w:rFonts w:ascii="Arial" w:cs="Arial" w:eastAsia="Arial" w:hAnsi="Arial"/>
                <w:sz w:val="17"/>
                <w:szCs w:val="17"/>
              </w:rPr>
              <w:t xml:space="preserve">High-risk window</w:t>
            </w:r>
          </w:p>
        </w:tc>
      </w:tr>
    </w:tbl>
    <w:p>
      <w:pPr>
        <w:spacing w:after="60"/>
      </w:pPr>
    </w:p>
    <w:p>
      <w:pPr>
        <w:spacing w:after="0"/>
        <w:jc w:val="center"/>
      </w:pPr>
      <w:r>
        <w:drawing>
          <wp:inline distT="0" distB="0" distL="0" distR="0">
            <wp:extent cx="4667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1952625"/>
                    </a:xfrm>
                    <a:prstGeom prst="rect">
                      <a:avLst/>
                    </a:prstGeom>
                  </pic:spPr>
                </pic:pic>
              </a:graphicData>
            </a:graphic>
          </wp:inline>
        </w:drawing>
      </w:r>
    </w:p>
    <w:p>
      <w:pPr>
        <w:spacing w:after="100"/>
      </w:pPr>
      <w:r>
        <w:rPr>
          <w:rFonts w:ascii="Arial" w:cs="Arial" w:eastAsia="Arial" w:hAnsi="Arial"/>
          <w:b w:val="false"/>
          <w:bCs w:val="false"/>
          <w:i/>
          <w:iCs/>
          <w:color w:val="555555"/>
          <w:sz w:val="17"/>
          <w:szCs w:val="17"/>
        </w:rPr>
        <w:t xml:space="preserve">Sales and HR departments have the highest exit rates. Sales Representatives leave at nearly 40% — roughly 1 in every 2.5 hires.</w:t>
      </w:r>
    </w:p>
    <w:p>
      <w:pPr>
        <w:pBdr>
          <w:bottom w:val="single" w:color="C0392B" w:sz="4" w:space="1"/>
        </w:pBdr>
        <w:spacing w:after="70" w:before="160"/>
      </w:pPr>
      <w:r>
        <w:rPr>
          <w:rFonts w:ascii="Arial" w:cs="Arial" w:eastAsia="Arial" w:hAnsi="Arial"/>
          <w:b/>
          <w:bCs/>
          <w:color w:val="C0392B"/>
          <w:sz w:val="22"/>
          <w:szCs w:val="22"/>
        </w:rPr>
        <w:t xml:space="preserve">It Is Not Just Salary</w:t>
      </w:r>
    </w:p>
    <w:p>
      <w:pPr>
        <w:pStyle w:val="ListParagraph"/>
        <w:numPr>
          <w:ilvl w:val="0"/>
          <w:numId w:val="2"/>
        </w:numPr>
        <w:spacing w:after="60"/>
      </w:pPr>
      <w:r>
        <w:rPr>
          <w:rFonts w:ascii="Arial" w:cs="Arial" w:eastAsia="Arial" w:hAnsi="Arial"/>
          <w:b/>
          <w:bCs/>
          <w:sz w:val="19"/>
          <w:szCs w:val="19"/>
        </w:rPr>
        <w:t xml:space="preserve">Overtime is the strongest warning sign. </w:t>
      </w:r>
      <w:r>
        <w:rPr>
          <w:rFonts w:ascii="Arial" w:cs="Arial" w:eastAsia="Arial" w:hAnsi="Arial"/>
          <w:sz w:val="19"/>
          <w:szCs w:val="19"/>
        </w:rPr>
        <w:t xml:space="preserve">Employees working overtime leave at three times the rate of those who do not (30.5% vs 10.4%). This is the clearest lever HR can pull immediately.</w:t>
      </w:r>
    </w:p>
    <w:p>
      <w:pPr>
        <w:pStyle w:val="ListParagraph"/>
        <w:numPr>
          <w:ilvl w:val="0"/>
          <w:numId w:val="2"/>
        </w:numPr>
        <w:spacing w:after="60"/>
      </w:pPr>
      <w:r>
        <w:rPr>
          <w:rFonts w:ascii="Arial" w:cs="Arial" w:eastAsia="Arial" w:hAnsi="Arial"/>
          <w:b/>
          <w:bCs/>
          <w:sz w:val="19"/>
          <w:szCs w:val="19"/>
        </w:rPr>
        <w:t xml:space="preserve">Career growth matters more than pay alone. </w:t>
      </w:r>
      <w:r>
        <w:rPr>
          <w:rFonts w:ascii="Arial" w:cs="Arial" w:eastAsia="Arial" w:hAnsi="Arial"/>
          <w:sz w:val="19"/>
          <w:szCs w:val="19"/>
        </w:rPr>
        <w:t xml:space="preserve">Managers and Research Directors leave at only 2.5–5%, while Technicians and Sales Reps exit at 24–40%. Employees with a visible career path stay. Employees who feel stuck leave.</w:t>
      </w:r>
    </w:p>
    <w:p>
      <w:pPr>
        <w:pStyle w:val="ListParagraph"/>
        <w:numPr>
          <w:ilvl w:val="0"/>
          <w:numId w:val="2"/>
        </w:numPr>
        <w:spacing w:after="60"/>
      </w:pPr>
      <w:r>
        <w:rPr>
          <w:rFonts w:ascii="Arial" w:cs="Arial" w:eastAsia="Arial" w:hAnsi="Arial"/>
          <w:b/>
          <w:bCs/>
          <w:sz w:val="19"/>
          <w:szCs w:val="19"/>
        </w:rPr>
        <w:t xml:space="preserve">Salary contributes but is not decisive. </w:t>
      </w:r>
      <w:r>
        <w:rPr>
          <w:rFonts w:ascii="Arial" w:cs="Arial" w:eastAsia="Arial" w:hAnsi="Arial"/>
          <w:sz w:val="19"/>
          <w:szCs w:val="19"/>
        </w:rPr>
        <w:t xml:space="preserve">Leavers earned 30% less on average — but overtime, role type, and travel frequency all predict exits more strongly than income alone.</w:t>
      </w:r>
    </w:p>
    <w:p>
      <w:pPr>
        <w:pBdr>
          <w:bottom w:val="single" w:color="C0392B" w:sz="4" w:space="1"/>
        </w:pBdr>
        <w:spacing w:after="70" w:before="160"/>
      </w:pPr>
      <w:r>
        <w:rPr>
          <w:rFonts w:ascii="Arial" w:cs="Arial" w:eastAsia="Arial" w:hAnsi="Arial"/>
          <w:b/>
          <w:bCs/>
          <w:color w:val="C0392B"/>
          <w:sz w:val="22"/>
          <w:szCs w:val="22"/>
        </w:rPr>
        <w:t xml:space="preserve">Two Actions HR Should Take Now</w:t>
      </w:r>
    </w:p>
    <w:p>
      <w:pPr>
        <w:pStyle w:val="ListParagraph"/>
        <w:numPr>
          <w:ilvl w:val="0"/>
          <w:numId w:val="3"/>
        </w:numPr>
        <w:spacing w:after="60"/>
      </w:pPr>
      <w:r>
        <w:rPr>
          <w:rFonts w:ascii="Arial" w:cs="Arial" w:eastAsia="Arial" w:hAnsi="Arial"/>
          <w:b/>
          <w:bCs/>
          <w:sz w:val="19"/>
          <w:szCs w:val="19"/>
        </w:rPr>
        <w:t xml:space="preserve">Introduce an Overtime Review. </w:t>
      </w:r>
      <w:r>
        <w:rPr>
          <w:rFonts w:ascii="Arial" w:cs="Arial" w:eastAsia="Arial" w:hAnsi="Arial"/>
          <w:sz w:val="19"/>
          <w:szCs w:val="19"/>
        </w:rPr>
        <w:t xml:space="preserve">Flag any employee working overtime for three or more consecutive months for a manager conversation about workload or team resourcing. If overtime is unavoidable, ensure it is compensated. Target: cut overtime-driven exits from 30.5% to below 15%.</w:t>
      </w:r>
    </w:p>
    <w:p>
      <w:pPr>
        <w:pStyle w:val="ListParagraph"/>
        <w:numPr>
          <w:ilvl w:val="0"/>
          <w:numId w:val="3"/>
        </w:numPr>
        <w:spacing w:after="60"/>
      </w:pPr>
      <w:r>
        <w:rPr>
          <w:rFonts w:ascii="Arial" w:cs="Arial" w:eastAsia="Arial" w:hAnsi="Arial"/>
          <w:b/>
          <w:bCs/>
          <w:sz w:val="19"/>
          <w:szCs w:val="19"/>
        </w:rPr>
        <w:t xml:space="preserve">Prioritise Sales Representative Retention. </w:t>
      </w:r>
      <w:r>
        <w:rPr>
          <w:rFonts w:ascii="Arial" w:cs="Arial" w:eastAsia="Arial" w:hAnsi="Arial"/>
          <w:sz w:val="19"/>
          <w:szCs w:val="19"/>
        </w:rPr>
        <w:t xml:space="preserve">With 40% of Sales Reps leaving, this role needs immediate attention: structured check-ins at 90 and 180 days, and a clear career path to Senior Sales Executive. The data shows that roles with visible progression (Research Directors: 2.5% exit rate) retain people far more effectively.</w:t>
      </w:r>
    </w:p>
    <w:p>
      <w:pPr>
        <w:pBdr>
          <w:bottom w:val="single" w:color="C0392B" w:sz="4" w:space="1"/>
        </w:pBdr>
        <w:spacing w:after="70" w:before="160"/>
      </w:pPr>
      <w:r>
        <w:rPr>
          <w:rFonts w:ascii="Arial" w:cs="Arial" w:eastAsia="Arial" w:hAnsi="Arial"/>
          <w:b/>
          <w:bCs/>
          <w:color w:val="C0392B"/>
          <w:sz w:val="22"/>
          <w:szCs w:val="22"/>
        </w:rPr>
        <w:t xml:space="preserve">A Note Before Acting on This</w:t>
      </w:r>
    </w:p>
    <w:p>
      <w:pPr>
        <w:spacing w:after="0"/>
      </w:pPr>
      <w:r>
        <w:rPr>
          <w:rFonts w:ascii="Arial" w:cs="Arial" w:eastAsia="Arial" w:hAnsi="Arial"/>
          <w:b w:val="false"/>
          <w:bCs w:val="false"/>
          <w:i w:val="false"/>
          <w:iCs w:val="false"/>
          <w:color w:val="000000"/>
          <w:sz w:val="19"/>
          <w:szCs w:val="19"/>
        </w:rPr>
        <w:t xml:space="preserve">This analysis spots patterns — it is not a crystal ball. It will miss some people who are about to leave and may flag some who are perfectly happy. Factors the data cannot see — a difficult manager, a personal life event, a better job offer — will always play a role. Use this as an early-warning tool and a conversation-starter, not as the final word on any individual.</w:t>
      </w:r>
    </w:p>
    <w:sectPr>
      <w:pgSz w:w="12240" w:h="15840" w:orient="portrait"/>
      <w:pgMar w:top="580" w:right="750" w:bottom="580" w:left="7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e826408715712d38069f8ff4d76fa3498bb6b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2026-06-26T19:51:55.824Z</dcterms:created>
  <dcterms:modified xsi:type="dcterms:W3CDTF">2026-06-26T19:51:55.824Z</dcterms:modified>
</cp:coreProperties>
</file>

<file path=docProps/custom.xml><?xml version="1.0" encoding="utf-8"?>
<Properties xmlns="http://schemas.openxmlformats.org/officeDocument/2006/custom-properties" xmlns:vt="http://schemas.openxmlformats.org/officeDocument/2006/docPropsVTypes"/>
</file>