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B365D"/>
          <w:sz w:val="44"/>
        </w:rPr>
        <w:t>VUKA — Technical Architecture &amp; System Design Specification</w:t>
      </w:r>
    </w:p>
    <w:p>
      <w:pPr>
        <w:spacing w:after="360"/>
      </w:pPr>
      <w:r>
        <w:rPr>
          <w:rFonts w:ascii="Calibri" w:hAnsi="Calibri"/>
          <w:i/>
          <w:color w:val="008080"/>
          <w:sz w:val="26"/>
        </w:rPr>
        <w:t>High-Performance Polyglot Backend Architecture for East African Cross-Border SME Trade</w:t>
      </w:r>
    </w:p>
    <w:tbl>
      <w:tblPr>
        <w:tblW w:type="auto" w:w="0"/>
        <w:jc w:val="center"/>
        <w:tblLook w:firstColumn="1" w:firstRow="1" w:lastColumn="0" w:lastRow="0" w:noHBand="0" w:noVBand="1" w:val="04A0"/>
      </w:tblPr>
      <w:tblGrid>
        <w:gridCol w:w="4680"/>
        <w:gridCol w:w="4680"/>
      </w:tblGrid>
      <w:tr>
        <w:tc>
          <w:tcPr>
            <w:tcW w:type="dxa" w:w="4680"/>
            <w:shd w:fill="FAFAFA"/>
            <w:tcMar>
              <w:top w:w="80" w:type="dxa"/>
              <w:bottom w:w="80" w:type="dxa"/>
              <w:left w:w="100" w:type="dxa"/>
              <w:right w:w="100" w:type="dxa"/>
            </w:tcMar>
          </w:tcPr>
          <w:p>
            <w:r>
              <w:rPr>
                <w:b/>
              </w:rPr>
              <w:t>Author: Senior Backend Architect</w:t>
            </w:r>
          </w:p>
        </w:tc>
        <w:tc>
          <w:tcPr>
            <w:tcW w:type="dxa" w:w="4680"/>
            <w:shd w:fill="FAFAFA"/>
            <w:tcMar>
              <w:top w:w="80" w:type="dxa"/>
              <w:bottom w:w="80" w:type="dxa"/>
              <w:left w:w="100" w:type="dxa"/>
              <w:right w:w="100" w:type="dxa"/>
            </w:tcMar>
          </w:tcPr>
          <w:p>
            <w:r>
              <w:rPr>
                <w:b/>
              </w:rPr>
              <w:t>Target Platform: VUKA Core Engine</w:t>
            </w:r>
          </w:p>
        </w:tc>
      </w:tr>
      <w:tr>
        <w:tc>
          <w:tcPr>
            <w:tcW w:type="dxa" w:w="4680"/>
            <w:shd w:fill="FAFAFA"/>
            <w:tcMar>
              <w:top w:w="80" w:type="dxa"/>
              <w:bottom w:w="80" w:type="dxa"/>
              <w:left w:w="100" w:type="dxa"/>
              <w:right w:w="100" w:type="dxa"/>
            </w:tcMar>
          </w:tcPr>
          <w:p>
            <w:r>
              <w:rPr>
                <w:i/>
              </w:rPr>
              <w:t>Event: National Bank of Rwanda Fintech Hackathon</w:t>
            </w:r>
          </w:p>
        </w:tc>
        <w:tc>
          <w:tcPr>
            <w:tcW w:type="dxa" w:w="4680"/>
            <w:shd w:fill="FAFAFA"/>
            <w:tcMar>
              <w:top w:w="80" w:type="dxa"/>
              <w:bottom w:w="80" w:type="dxa"/>
              <w:left w:w="100" w:type="dxa"/>
              <w:right w:w="100" w:type="dxa"/>
            </w:tcMar>
          </w:tcPr>
          <w:p>
            <w:r>
              <w:rPr>
                <w:i/>
              </w:rPr>
              <w:t>Version: 1.0 (Phase 1 MVP Architecture)</w:t>
            </w:r>
          </w:p>
        </w:tc>
      </w:tr>
    </w:tbl>
    <w:p>
      <w:pPr>
        <w:spacing w:after="240"/>
      </w:pPr>
    </w:p>
    <w:p>
      <w:pPr>
        <w:keepNext/>
        <w:spacing w:before="360" w:after="120"/>
      </w:pPr>
      <w:r>
        <w:rPr>
          <w:rFonts w:ascii="Calibri" w:hAnsi="Calibri"/>
          <w:b/>
          <w:color w:val="1B365D"/>
          <w:sz w:val="32"/>
        </w:rPr>
        <w:t>1. Executive Summary &amp; Architectural Vision</w:t>
      </w:r>
    </w:p>
    <w:p>
      <w:pPr>
        <w:spacing w:after="120" w:line="276" w:lineRule="auto"/>
      </w:pPr>
      <w:r>
        <w:rPr>
          <w:rFonts w:ascii="Calibri" w:hAnsi="Calibri"/>
          <w:b/>
          <w:color w:val="2F3E46"/>
          <w:sz w:val="22"/>
        </w:rPr>
        <w:t xml:space="preserve">System Context: </w:t>
      </w:r>
      <w:r>
        <w:rPr>
          <w:rFonts w:ascii="Calibri" w:hAnsi="Calibri"/>
          <w:color w:val="2F3E46"/>
          <w:sz w:val="22"/>
        </w:rPr>
        <w:t>VUKA is a specialized trade-focused payment and financial management platform designed specifically for East African Small and Medium Enterprises (SMEs). While existing pan-African rails (such as PAPSS or Onafriq) and telecom operators (MTN Mobile Money, M-Pesa) provide basic consumer remittance connectivity, they lack the business infrastructure required for commercial cross-border trade. VUKA operates as the dedicated trader-facing layer sitting directly on top of these networks.</w:t>
      </w:r>
    </w:p>
    <w:tbl>
      <w:tblPr>
        <w:tblW w:type="auto" w:w="0"/>
        <w:jc w:val="center"/>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Borders>
              <w:left w:val="single" w:sz="24" w:space="0" w:color="1B365D"/>
              <w:top w:val="none"/>
              <w:right w:val="none"/>
              <w:bottom w:val="none"/>
            </w:tcBorders>
          </w:tcPr>
          <w:p>
            <w:pPr>
              <w:spacing w:after="80"/>
            </w:pPr>
            <w:r>
              <w:rPr>
                <w:rFonts w:ascii="Calibri" w:hAnsi="Calibri"/>
                <w:b/>
                <w:color w:val="1B365D"/>
                <w:sz w:val="22"/>
              </w:rPr>
              <w:t>Core Architectural Mission</w:t>
              <w:br/>
            </w:r>
            <w:r>
              <w:rPr>
                <w:rFonts w:ascii="Calibri" w:hAnsi="Calibri"/>
                <w:i/>
                <w:color w:val="2F3E46"/>
                <w:sz w:val="21"/>
              </w:rPr>
              <w:t>To build an ultra-reliable, concurrent, and audit-compliant backend capable of executing trade-sized cross-border transfers, maintaining absolute double-entry accounting integrity, insulating personal from business finances, and seamlessly translating internal payment states into global ISO 20022 financial messages.</w:t>
            </w:r>
          </w:p>
        </w:tc>
      </w:tr>
    </w:tbl>
    <w:p>
      <w:pPr>
        <w:spacing w:after="120"/>
      </w:pPr>
    </w:p>
    <w:p>
      <w:pPr>
        <w:keepNext/>
        <w:spacing w:before="280" w:after="80"/>
      </w:pPr>
      <w:r>
        <w:rPr>
          <w:rFonts w:ascii="Calibri" w:hAnsi="Calibri"/>
          <w:b/>
          <w:color w:val="008080"/>
          <w:sz w:val="26"/>
        </w:rPr>
        <w:t>1.1 Key Market Gaps Solved by VUKA Engine</w:t>
      </w:r>
    </w:p>
    <w:p>
      <w:pPr>
        <w:pStyle w:val="ListBullet"/>
        <w:spacing w:after="60" w:line="276" w:lineRule="auto"/>
      </w:pPr>
      <w:r>
        <w:rPr>
          <w:rFonts w:ascii="Calibri" w:hAnsi="Calibri"/>
          <w:b/>
          <w:color w:val="2F3E46"/>
          <w:sz w:val="22"/>
        </w:rPr>
        <w:t>Trade-Sized Limits:</w:t>
      </w:r>
      <w:r>
        <w:rPr>
          <w:rFonts w:ascii="Calibri" w:hAnsi="Calibri"/>
          <w:color w:val="2F3E46"/>
          <w:sz w:val="22"/>
        </w:rPr>
        <w:t xml:space="preserve"> Traditional mobile money enforces personal remittance caps (~$1,700). VUKA handles real SME transaction sizes with enhanced business verification.</w:t>
      </w:r>
    </w:p>
    <w:p>
      <w:pPr>
        <w:pStyle w:val="ListBullet"/>
        <w:spacing w:after="60" w:line="276" w:lineRule="auto"/>
      </w:pPr>
      <w:r>
        <w:rPr>
          <w:rFonts w:ascii="Calibri" w:hAnsi="Calibri"/>
          <w:b/>
          <w:color w:val="2F3E46"/>
          <w:sz w:val="22"/>
        </w:rPr>
        <w:t>Invoice-Linked Transfers:</w:t>
      </w:r>
      <w:r>
        <w:rPr>
          <w:rFonts w:ascii="Calibri" w:hAnsi="Calibri"/>
          <w:color w:val="2F3E46"/>
          <w:sz w:val="22"/>
        </w:rPr>
        <w:t xml:space="preserve"> Transfers on USSD carry no metadata. VUKA binds every payment cryptographically to an invoice number and order record.</w:t>
      </w:r>
    </w:p>
    <w:p>
      <w:pPr>
        <w:pStyle w:val="ListBullet"/>
        <w:spacing w:after="60" w:line="276" w:lineRule="auto"/>
      </w:pPr>
      <w:r>
        <w:rPr>
          <w:rFonts w:ascii="Calibri" w:hAnsi="Calibri"/>
          <w:b/>
          <w:color w:val="2F3E46"/>
          <w:sz w:val="22"/>
        </w:rPr>
        <w:t>Wallet Separation:</w:t>
      </w:r>
      <w:r>
        <w:rPr>
          <w:rFonts w:ascii="Calibri" w:hAnsi="Calibri"/>
          <w:color w:val="2F3E46"/>
          <w:sz w:val="22"/>
        </w:rPr>
        <w:t xml:space="preserve"> Traders currently mix household expenses with inventory capital. VUKA strictly isolates Personal and Business sub-accounts in a double-entry ledger.</w:t>
      </w:r>
    </w:p>
    <w:p>
      <w:pPr>
        <w:pStyle w:val="ListBullet"/>
        <w:spacing w:after="60" w:line="276" w:lineRule="auto"/>
      </w:pPr>
      <w:r>
        <w:rPr>
          <w:rFonts w:ascii="Calibri" w:hAnsi="Calibri"/>
          <w:b/>
          <w:color w:val="2F3E46"/>
          <w:sz w:val="22"/>
        </w:rPr>
        <w:t>Trust Infrastructure:</w:t>
      </w:r>
      <w:r>
        <w:rPr>
          <w:rFonts w:ascii="Calibri" w:hAnsi="Calibri"/>
          <w:color w:val="2F3E46"/>
          <w:sz w:val="22"/>
        </w:rPr>
        <w:t xml:space="preserve"> Unregistered buyers are forced into paying 50-60% upfront. VUKA generates a verifiable in-app payment track record that builds trust between cross-border trade partners.</w:t>
      </w:r>
    </w:p>
    <w:p>
      <w:pPr>
        <w:keepNext/>
        <w:spacing w:before="360" w:after="120"/>
      </w:pPr>
      <w:r>
        <w:rPr>
          <w:rFonts w:ascii="Calibri" w:hAnsi="Calibri"/>
          <w:b/>
          <w:color w:val="1B365D"/>
          <w:sz w:val="32"/>
        </w:rPr>
        <w:t>2. Technology Stack &amp; Language Responsibilities</w:t>
      </w:r>
    </w:p>
    <w:p>
      <w:pPr>
        <w:spacing w:after="120" w:line="276" w:lineRule="auto"/>
      </w:pPr>
      <w:r>
        <w:rPr>
          <w:rFonts w:ascii="Calibri" w:hAnsi="Calibri"/>
          <w:color w:val="2F3E46"/>
          <w:sz w:val="22"/>
        </w:rPr>
        <w:t>VUKA utilizes a Polyglot Microservices Strategy (Option A) where each language is chosen based on its strict technical strengths: Go for concurrency and state management, Python for data mapping and schema standards, SQL for atomic ledger transactions, and TypeScript/React for user interface reactivity.</w:t>
      </w:r>
    </w:p>
    <w:tbl>
      <w:tblPr>
        <w:tblW w:type="auto" w:w="0"/>
        <w:jc w:val="center"/>
        <w:tblLook w:firstColumn="1" w:firstRow="1" w:lastColumn="0" w:lastRow="0" w:noHBand="0" w:noVBand="1" w:val="04A0"/>
      </w:tblPr>
      <w:tblGrid>
        <w:gridCol w:w="2340"/>
        <w:gridCol w:w="2340"/>
        <w:gridCol w:w="2340"/>
        <w:gridCol w:w="2340"/>
      </w:tblGrid>
      <w:tr>
        <w:tc>
          <w:tcPr>
            <w:tcW w:type="dxa" w:w="2340"/>
            <w:shd w:fill="1B365D"/>
            <w:tcMar>
              <w:top w:w="120" w:type="dxa"/>
              <w:bottom w:w="120" w:type="dxa"/>
              <w:left w:w="120" w:type="dxa"/>
              <w:right w:w="120" w:type="dxa"/>
            </w:tcMar>
          </w:tcPr>
          <w:p>
            <w:r>
              <w:rPr>
                <w:rFonts w:ascii="Calibri" w:hAnsi="Calibri"/>
                <w:b/>
                <w:color w:val="FFFFFF"/>
              </w:rPr>
              <w:t>Layer / Service</w:t>
            </w:r>
          </w:p>
        </w:tc>
        <w:tc>
          <w:tcPr>
            <w:tcW w:type="dxa" w:w="2340"/>
            <w:shd w:fill="1B365D"/>
            <w:tcMar>
              <w:top w:w="120" w:type="dxa"/>
              <w:bottom w:w="120" w:type="dxa"/>
              <w:left w:w="120" w:type="dxa"/>
              <w:right w:w="120" w:type="dxa"/>
            </w:tcMar>
          </w:tcPr>
          <w:p>
            <w:r>
              <w:rPr>
                <w:rFonts w:ascii="Calibri" w:hAnsi="Calibri"/>
                <w:b/>
                <w:color w:val="FFFFFF"/>
              </w:rPr>
              <w:t>Language / Tech</w:t>
            </w:r>
          </w:p>
        </w:tc>
        <w:tc>
          <w:tcPr>
            <w:tcW w:type="dxa" w:w="2340"/>
            <w:shd w:fill="1B365D"/>
            <w:tcMar>
              <w:top w:w="120" w:type="dxa"/>
              <w:bottom w:w="120" w:type="dxa"/>
              <w:left w:w="120" w:type="dxa"/>
              <w:right w:w="120" w:type="dxa"/>
            </w:tcMar>
          </w:tcPr>
          <w:p>
            <w:r>
              <w:rPr>
                <w:rFonts w:ascii="Calibri" w:hAnsi="Calibri"/>
                <w:b/>
                <w:color w:val="FFFFFF"/>
              </w:rPr>
              <w:t>Primary Role</w:t>
            </w:r>
          </w:p>
        </w:tc>
        <w:tc>
          <w:tcPr>
            <w:tcW w:type="dxa" w:w="2340"/>
            <w:shd w:fill="1B365D"/>
            <w:tcMar>
              <w:top w:w="120" w:type="dxa"/>
              <w:bottom w:w="120" w:type="dxa"/>
              <w:left w:w="120" w:type="dxa"/>
              <w:right w:w="120" w:type="dxa"/>
            </w:tcMar>
          </w:tcPr>
          <w:p>
            <w:r>
              <w:rPr>
                <w:rFonts w:ascii="Calibri" w:hAnsi="Calibri"/>
                <w:b/>
                <w:color w:val="FFFFFF"/>
              </w:rPr>
              <w:t>Key Architectural Justification</w:t>
            </w:r>
          </w:p>
        </w:tc>
      </w:tr>
      <w:tr>
        <w:tc>
          <w:tcPr>
            <w:tcW w:type="dxa" w:w="2340"/>
            <w:shd w:fill="FFFFFF"/>
            <w:tcMar>
              <w:top w:w="100" w:type="dxa"/>
              <w:bottom w:w="100" w:type="dxa"/>
              <w:left w:w="100" w:type="dxa"/>
              <w:right w:w="100" w:type="dxa"/>
            </w:tcMar>
          </w:tcPr>
          <w:p>
            <w:r>
              <w:rPr>
                <w:rFonts w:ascii="Calibri" w:hAnsi="Calibri"/>
                <w:sz w:val="19"/>
              </w:rPr>
              <w:t>Core Bridge &amp; Ledger</w:t>
            </w:r>
          </w:p>
        </w:tc>
        <w:tc>
          <w:tcPr>
            <w:tcW w:type="dxa" w:w="2340"/>
            <w:shd w:fill="FFFFFF"/>
            <w:tcMar>
              <w:top w:w="100" w:type="dxa"/>
              <w:bottom w:w="100" w:type="dxa"/>
              <w:left w:w="100" w:type="dxa"/>
              <w:right w:w="100" w:type="dxa"/>
            </w:tcMar>
          </w:tcPr>
          <w:p>
            <w:r>
              <w:rPr>
                <w:rFonts w:ascii="Calibri" w:hAnsi="Calibri"/>
                <w:sz w:val="19"/>
              </w:rPr>
              <w:t>Go (Golang)</w:t>
            </w:r>
          </w:p>
        </w:tc>
        <w:tc>
          <w:tcPr>
            <w:tcW w:type="dxa" w:w="2340"/>
            <w:shd w:fill="FFFFFF"/>
            <w:tcMar>
              <w:top w:w="100" w:type="dxa"/>
              <w:bottom w:w="100" w:type="dxa"/>
              <w:left w:w="100" w:type="dxa"/>
              <w:right w:w="100" w:type="dxa"/>
            </w:tcMar>
          </w:tcPr>
          <w:p>
            <w:r>
              <w:rPr>
                <w:rFonts w:ascii="Calibri" w:hAnsi="Calibri"/>
                <w:sz w:val="19"/>
              </w:rPr>
              <w:t>State machine, concurrency control, idempotency, API gateway</w:t>
            </w:r>
          </w:p>
        </w:tc>
        <w:tc>
          <w:tcPr>
            <w:tcW w:type="dxa" w:w="2340"/>
            <w:shd w:fill="FFFFFF"/>
            <w:tcMar>
              <w:top w:w="100" w:type="dxa"/>
              <w:bottom w:w="100" w:type="dxa"/>
              <w:left w:w="100" w:type="dxa"/>
              <w:right w:w="100" w:type="dxa"/>
            </w:tcMar>
          </w:tcPr>
          <w:p>
            <w:r>
              <w:rPr>
                <w:rFonts w:ascii="Calibri" w:hAnsi="Calibri"/>
                <w:sz w:val="19"/>
              </w:rPr>
              <w:t>Sub-millisecond goroutine concurrency; memory safety; safe execution under high transfer volume.</w:t>
            </w:r>
          </w:p>
        </w:tc>
      </w:tr>
      <w:tr>
        <w:tc>
          <w:tcPr>
            <w:tcW w:type="dxa" w:w="2340"/>
            <w:shd w:fill="F4F6F8"/>
            <w:tcMar>
              <w:top w:w="100" w:type="dxa"/>
              <w:bottom w:w="100" w:type="dxa"/>
              <w:left w:w="100" w:type="dxa"/>
              <w:right w:w="100" w:type="dxa"/>
            </w:tcMar>
          </w:tcPr>
          <w:p>
            <w:r>
              <w:rPr>
                <w:rFonts w:ascii="Calibri" w:hAnsi="Calibri"/>
                <w:sz w:val="19"/>
              </w:rPr>
              <w:t>Messaging Gateway</w:t>
            </w:r>
          </w:p>
        </w:tc>
        <w:tc>
          <w:tcPr>
            <w:tcW w:type="dxa" w:w="2340"/>
            <w:shd w:fill="F4F6F8"/>
            <w:tcMar>
              <w:top w:w="100" w:type="dxa"/>
              <w:bottom w:w="100" w:type="dxa"/>
              <w:left w:w="100" w:type="dxa"/>
              <w:right w:w="100" w:type="dxa"/>
            </w:tcMar>
          </w:tcPr>
          <w:p>
            <w:r>
              <w:rPr>
                <w:rFonts w:ascii="Calibri" w:hAnsi="Calibri"/>
                <w:sz w:val="19"/>
              </w:rPr>
              <w:t>Python (FastAPI)</w:t>
            </w:r>
          </w:p>
        </w:tc>
        <w:tc>
          <w:tcPr>
            <w:tcW w:type="dxa" w:w="2340"/>
            <w:shd w:fill="F4F6F8"/>
            <w:tcMar>
              <w:top w:w="100" w:type="dxa"/>
              <w:bottom w:w="100" w:type="dxa"/>
              <w:left w:w="100" w:type="dxa"/>
              <w:right w:w="100" w:type="dxa"/>
            </w:tcMar>
          </w:tcPr>
          <w:p>
            <w:r>
              <w:rPr>
                <w:rFonts w:ascii="Calibri" w:hAnsi="Calibri"/>
                <w:sz w:val="19"/>
              </w:rPr>
              <w:t>ISO 20022 XML parsing, schema transformation, mapping</w:t>
            </w:r>
          </w:p>
        </w:tc>
        <w:tc>
          <w:tcPr>
            <w:tcW w:type="dxa" w:w="2340"/>
            <w:shd w:fill="F4F6F8"/>
            <w:tcMar>
              <w:top w:w="100" w:type="dxa"/>
              <w:bottom w:w="100" w:type="dxa"/>
              <w:left w:w="100" w:type="dxa"/>
              <w:right w:w="100" w:type="dxa"/>
            </w:tcMar>
          </w:tcPr>
          <w:p>
            <w:r>
              <w:rPr>
                <w:rFonts w:ascii="Calibri" w:hAnsi="Calibri"/>
                <w:sz w:val="19"/>
              </w:rPr>
              <w:t>Rich XML parsing tools; rapid translation of JSON payloads into complex pacs.008 XML standards.</w:t>
            </w:r>
          </w:p>
        </w:tc>
      </w:tr>
      <w:tr>
        <w:tc>
          <w:tcPr>
            <w:tcW w:type="dxa" w:w="2340"/>
            <w:shd w:fill="FFFFFF"/>
            <w:tcMar>
              <w:top w:w="100" w:type="dxa"/>
              <w:bottom w:w="100" w:type="dxa"/>
              <w:left w:w="100" w:type="dxa"/>
              <w:right w:w="100" w:type="dxa"/>
            </w:tcMar>
          </w:tcPr>
          <w:p>
            <w:r>
              <w:rPr>
                <w:rFonts w:ascii="Calibri" w:hAnsi="Calibri"/>
                <w:sz w:val="19"/>
              </w:rPr>
              <w:t>Double-Entry Ledger DB</w:t>
            </w:r>
          </w:p>
        </w:tc>
        <w:tc>
          <w:tcPr>
            <w:tcW w:type="dxa" w:w="2340"/>
            <w:shd w:fill="FFFFFF"/>
            <w:tcMar>
              <w:top w:w="100" w:type="dxa"/>
              <w:bottom w:w="100" w:type="dxa"/>
              <w:left w:w="100" w:type="dxa"/>
              <w:right w:w="100" w:type="dxa"/>
            </w:tcMar>
          </w:tcPr>
          <w:p>
            <w:r>
              <w:rPr>
                <w:rFonts w:ascii="Calibri" w:hAnsi="Calibri"/>
                <w:sz w:val="19"/>
              </w:rPr>
              <w:t>PostgreSQL (SQL)</w:t>
            </w:r>
          </w:p>
        </w:tc>
        <w:tc>
          <w:tcPr>
            <w:tcW w:type="dxa" w:w="2340"/>
            <w:shd w:fill="FFFFFF"/>
            <w:tcMar>
              <w:top w:w="100" w:type="dxa"/>
              <w:bottom w:w="100" w:type="dxa"/>
              <w:left w:w="100" w:type="dxa"/>
              <w:right w:w="100" w:type="dxa"/>
            </w:tcMar>
          </w:tcPr>
          <w:p>
            <w:r>
              <w:rPr>
                <w:rFonts w:ascii="Calibri" w:hAnsi="Calibri"/>
                <w:sz w:val="19"/>
              </w:rPr>
              <w:t>Immutable transaction recording, account locks, balances</w:t>
            </w:r>
          </w:p>
        </w:tc>
        <w:tc>
          <w:tcPr>
            <w:tcW w:type="dxa" w:w="2340"/>
            <w:shd w:fill="FFFFFF"/>
            <w:tcMar>
              <w:top w:w="100" w:type="dxa"/>
              <w:bottom w:w="100" w:type="dxa"/>
              <w:left w:w="100" w:type="dxa"/>
              <w:right w:w="100" w:type="dxa"/>
            </w:tcMar>
          </w:tcPr>
          <w:p>
            <w:r>
              <w:rPr>
                <w:rFonts w:ascii="Calibri" w:hAnsi="Calibri"/>
                <w:sz w:val="19"/>
              </w:rPr>
              <w:t>ACID guarantees; strict relational constraints; double-entry ledger debit/credit balance generation.</w:t>
            </w:r>
          </w:p>
        </w:tc>
      </w:tr>
      <w:tr>
        <w:tc>
          <w:tcPr>
            <w:tcW w:type="dxa" w:w="2340"/>
            <w:shd w:fill="F4F6F8"/>
            <w:tcMar>
              <w:top w:w="100" w:type="dxa"/>
              <w:bottom w:w="100" w:type="dxa"/>
              <w:left w:w="100" w:type="dxa"/>
              <w:right w:w="100" w:type="dxa"/>
            </w:tcMar>
          </w:tcPr>
          <w:p>
            <w:r>
              <w:rPr>
                <w:rFonts w:ascii="Calibri" w:hAnsi="Calibri"/>
                <w:sz w:val="19"/>
              </w:rPr>
              <w:t>Trader Dashboard UI</w:t>
            </w:r>
          </w:p>
        </w:tc>
        <w:tc>
          <w:tcPr>
            <w:tcW w:type="dxa" w:w="2340"/>
            <w:shd w:fill="F4F6F8"/>
            <w:tcMar>
              <w:top w:w="100" w:type="dxa"/>
              <w:bottom w:w="100" w:type="dxa"/>
              <w:left w:w="100" w:type="dxa"/>
              <w:right w:w="100" w:type="dxa"/>
            </w:tcMar>
          </w:tcPr>
          <w:p>
            <w:r>
              <w:rPr>
                <w:rFonts w:ascii="Calibri" w:hAnsi="Calibri"/>
                <w:sz w:val="19"/>
              </w:rPr>
              <w:t>React (TypeScript)</w:t>
            </w:r>
          </w:p>
        </w:tc>
        <w:tc>
          <w:tcPr>
            <w:tcW w:type="dxa" w:w="2340"/>
            <w:shd w:fill="F4F6F8"/>
            <w:tcMar>
              <w:top w:w="100" w:type="dxa"/>
              <w:bottom w:w="100" w:type="dxa"/>
              <w:left w:w="100" w:type="dxa"/>
              <w:right w:w="100" w:type="dxa"/>
            </w:tcMar>
          </w:tcPr>
          <w:p>
            <w:r>
              <w:rPr>
                <w:rFonts w:ascii="Calibri" w:hAnsi="Calibri"/>
                <w:sz w:val="19"/>
              </w:rPr>
              <w:t>User interface, invoice builder, wallet view, live status</w:t>
            </w:r>
          </w:p>
        </w:tc>
        <w:tc>
          <w:tcPr>
            <w:tcW w:type="dxa" w:w="2340"/>
            <w:shd w:fill="F4F6F8"/>
            <w:tcMar>
              <w:top w:w="100" w:type="dxa"/>
              <w:bottom w:w="100" w:type="dxa"/>
              <w:left w:w="100" w:type="dxa"/>
              <w:right w:w="100" w:type="dxa"/>
            </w:tcMar>
          </w:tcPr>
          <w:p>
            <w:r>
              <w:rPr>
                <w:rFonts w:ascii="Calibri" w:hAnsi="Calibri"/>
                <w:sz w:val="19"/>
              </w:rPr>
              <w:t>Type-safe UI components; state synchronization with backend gRPC/REST APIs; real-time feedback.</w:t>
            </w:r>
          </w:p>
        </w:tc>
      </w:tr>
    </w:tbl>
    <w:p>
      <w:pPr>
        <w:spacing w:after="200"/>
      </w:pPr>
    </w:p>
    <w:p>
      <w:pPr>
        <w:keepNext/>
        <w:spacing w:before="360" w:after="120"/>
      </w:pPr>
      <w:r>
        <w:rPr>
          <w:rFonts w:ascii="Calibri" w:hAnsi="Calibri"/>
          <w:b/>
          <w:color w:val="1B365D"/>
          <w:sz w:val="32"/>
        </w:rPr>
        <w:t>3. Microservices Architecture &amp; Hand-in-Hand Workflow</w:t>
      </w:r>
    </w:p>
    <w:p>
      <w:pPr>
        <w:spacing w:after="120" w:line="276" w:lineRule="auto"/>
      </w:pPr>
      <w:r>
        <w:rPr>
          <w:rFonts w:ascii="Calibri" w:hAnsi="Calibri"/>
          <w:color w:val="2F3E46"/>
          <w:sz w:val="22"/>
        </w:rPr>
        <w:t>The backend is structured into decoupled microservices that communicate via lightweight gRPC protocols and transactional message queues to ensure absolute data consistency across cross-border operations.</w:t>
      </w:r>
    </w:p>
    <w:p>
      <w:pPr>
        <w:keepNext/>
        <w:spacing w:before="280" w:after="80"/>
      </w:pPr>
      <w:r>
        <w:rPr>
          <w:rFonts w:ascii="Calibri" w:hAnsi="Calibri"/>
          <w:b/>
          <w:color w:val="008080"/>
          <w:sz w:val="26"/>
        </w:rPr>
        <w:t>3.1 Component Breakdown</w:t>
      </w:r>
    </w:p>
    <w:p>
      <w:pPr>
        <w:spacing w:after="120" w:line="276" w:lineRule="auto"/>
      </w:pPr>
      <w:r>
        <w:rPr>
          <w:rFonts w:ascii="Calibri" w:hAnsi="Calibri"/>
          <w:b/>
          <w:color w:val="2F3E46"/>
          <w:sz w:val="22"/>
        </w:rPr>
        <w:t xml:space="preserve">1. Go Core Bridge Engine: </w:t>
      </w:r>
      <w:r>
        <w:rPr>
          <w:rFonts w:ascii="Calibri" w:hAnsi="Calibri"/>
          <w:color w:val="2F3E46"/>
          <w:sz w:val="22"/>
        </w:rPr>
        <w:t>The Go Bridge Engine serves as the core orchestrator. It receives transaction requests from the React dashboard, validates the user's business balance against PostgreSQL, generates idempotency tokens, and executes the ledger mutation.</w:t>
      </w:r>
    </w:p>
    <w:p>
      <w:pPr>
        <w:spacing w:after="120" w:line="276" w:lineRule="auto"/>
      </w:pPr>
      <w:r>
        <w:rPr>
          <w:rFonts w:ascii="Calibri" w:hAnsi="Calibri"/>
          <w:b/>
          <w:color w:val="2F3E46"/>
          <w:sz w:val="22"/>
        </w:rPr>
        <w:t xml:space="preserve">2. Python ISO 20022 Gateway: </w:t>
      </w:r>
      <w:r>
        <w:rPr>
          <w:rFonts w:ascii="Calibri" w:hAnsi="Calibri"/>
          <w:color w:val="2F3E46"/>
          <w:sz w:val="22"/>
        </w:rPr>
        <w:t>When a transfer requires cross-border clearance or bank compliance, the Go Engine passes a JSON payload to the Python Messaging Gateway. Python transforms this into an ISO 20022 `pacs.008.001.10` credit transfer XML message and signs it.</w:t>
      </w:r>
    </w:p>
    <w:p>
      <w:pPr>
        <w:spacing w:after="120" w:line="276" w:lineRule="auto"/>
      </w:pPr>
      <w:r>
        <w:rPr>
          <w:rFonts w:ascii="Calibri" w:hAnsi="Calibri"/>
          <w:b/>
          <w:color w:val="2F3E46"/>
          <w:sz w:val="22"/>
        </w:rPr>
        <w:t xml:space="preserve">3. PostgreSQL Double-Entry Engine: </w:t>
      </w:r>
      <w:r>
        <w:rPr>
          <w:rFonts w:ascii="Calibri" w:hAnsi="Calibri"/>
          <w:color w:val="2F3E46"/>
          <w:sz w:val="22"/>
        </w:rPr>
        <w:t>All financial records are stored as immutable debits and credits. Accounts are never directly incremented or decremented via simple UPDATE statements; balances are derived dynamically from linked entries.</w:t>
      </w:r>
    </w:p>
    <w:p>
      <w:pPr>
        <w:spacing w:after="120" w:line="276" w:lineRule="auto"/>
      </w:pPr>
      <w:r>
        <w:rPr>
          <w:rFonts w:ascii="Calibri" w:hAnsi="Calibri"/>
          <w:b/>
          <w:color w:val="2F3E46"/>
          <w:sz w:val="22"/>
        </w:rPr>
        <w:t xml:space="preserve">4. Telecom Adapter Layer: </w:t>
      </w:r>
      <w:r>
        <w:rPr>
          <w:rFonts w:ascii="Calibri" w:hAnsi="Calibri"/>
          <w:color w:val="2F3E46"/>
          <w:sz w:val="22"/>
        </w:rPr>
        <w:t>Communicates directly with simulated MTN Mobile Money and M-Pesa APIs. Executes two-phase callbacks to handle webhooks, network timeouts, and automatic transaction reversals.</w:t>
      </w:r>
    </w:p>
    <w:p>
      <w:pPr>
        <w:keepNext/>
        <w:spacing w:before="280" w:after="80"/>
      </w:pPr>
      <w:r>
        <w:rPr>
          <w:rFonts w:ascii="Calibri" w:hAnsi="Calibri"/>
          <w:b/>
          <w:color w:val="008080"/>
          <w:sz w:val="26"/>
        </w:rPr>
        <w:t>3.2 Step-by-Step Payment Sequence</w:t>
      </w:r>
    </w:p>
    <w:p>
      <w:pPr>
        <w:pStyle w:val="ListBullet"/>
        <w:spacing w:after="60" w:line="276" w:lineRule="auto"/>
      </w:pPr>
      <w:r>
        <w:rPr>
          <w:rFonts w:ascii="Calibri" w:hAnsi="Calibri"/>
          <w:b/>
          <w:color w:val="2F3E46"/>
          <w:sz w:val="22"/>
        </w:rPr>
        <w:t>Step 1 (Initiation):</w:t>
      </w:r>
      <w:r>
        <w:rPr>
          <w:rFonts w:ascii="Calibri" w:hAnsi="Calibri"/>
          <w:color w:val="2F3E46"/>
          <w:sz w:val="22"/>
        </w:rPr>
        <w:t>Trader initiates a $500 cross-border invoice payment on the React frontend. React sends a POST request with an Idempotency-Key (UUIDv4) and Invoice ID to the Go API Gateway.</w:t>
      </w:r>
    </w:p>
    <w:p>
      <w:pPr>
        <w:pStyle w:val="ListBullet"/>
        <w:spacing w:after="60" w:line="276" w:lineRule="auto"/>
      </w:pPr>
      <w:r>
        <w:rPr>
          <w:rFonts w:ascii="Calibri" w:hAnsi="Calibri"/>
          <w:b/>
          <w:color w:val="2F3E46"/>
          <w:sz w:val="22"/>
        </w:rPr>
        <w:t>Step 2 (Idempotency &amp; Lock):</w:t>
      </w:r>
      <w:r>
        <w:rPr>
          <w:rFonts w:ascii="Calibri" w:hAnsi="Calibri"/>
          <w:color w:val="2F3E46"/>
          <w:sz w:val="22"/>
        </w:rPr>
        <w:t>The Go Engine starts a database transaction (`BEGIN`), checks the idempotency table to prevent duplicate charges, and locks the sender's business account using `FOR UPDATE`.</w:t>
      </w:r>
    </w:p>
    <w:p>
      <w:pPr>
        <w:pStyle w:val="ListBullet"/>
        <w:spacing w:after="60" w:line="276" w:lineRule="auto"/>
      </w:pPr>
      <w:r>
        <w:rPr>
          <w:rFonts w:ascii="Calibri" w:hAnsi="Calibri"/>
          <w:b/>
          <w:color w:val="2F3E46"/>
          <w:sz w:val="22"/>
        </w:rPr>
        <w:t>Step 3 (Balance Verification):</w:t>
      </w:r>
      <w:r>
        <w:rPr>
          <w:rFonts w:ascii="Calibri" w:hAnsi="Calibri"/>
          <w:color w:val="2F3E46"/>
          <w:sz w:val="22"/>
        </w:rPr>
        <w:t>Go queries the PostgreSQL ledger. If `SUM(ledger_entries.amount)` for the business account is &gt;= $500, the transfer proceeds. Otherwise, it immediately aborts with an HTTP 422.</w:t>
      </w:r>
    </w:p>
    <w:p>
      <w:pPr>
        <w:pStyle w:val="ListBullet"/>
        <w:spacing w:after="60" w:line="276" w:lineRule="auto"/>
      </w:pPr>
      <w:r>
        <w:rPr>
          <w:rFonts w:ascii="Calibri" w:hAnsi="Calibri"/>
          <w:b/>
          <w:color w:val="2F3E46"/>
          <w:sz w:val="22"/>
        </w:rPr>
        <w:t>Step 4 (ISO 20022 Translation):</w:t>
      </w:r>
      <w:r>
        <w:rPr>
          <w:rFonts w:ascii="Calibri" w:hAnsi="Calibri"/>
          <w:color w:val="2F3E46"/>
          <w:sz w:val="22"/>
        </w:rPr>
        <w:t>Go calls the Python ISO Gateway via gRPC (`/iso/serialize`). Python validates the payload against standard SWIFT/ISO schemas and returns a compliant `pacs.008` XML payload.</w:t>
      </w:r>
    </w:p>
    <w:p>
      <w:pPr>
        <w:pStyle w:val="ListBullet"/>
        <w:spacing w:after="60" w:line="276" w:lineRule="auto"/>
      </w:pPr>
      <w:r>
        <w:rPr>
          <w:rFonts w:ascii="Calibri" w:hAnsi="Calibri"/>
          <w:b/>
          <w:color w:val="2F3E46"/>
          <w:sz w:val="22"/>
        </w:rPr>
        <w:t>Step 5 (Telecom Dispatch):</w:t>
      </w:r>
      <w:r>
        <w:rPr>
          <w:rFonts w:ascii="Calibri" w:hAnsi="Calibri"/>
          <w:color w:val="2F3E46"/>
          <w:sz w:val="22"/>
        </w:rPr>
        <w:t>Go dispatches the transaction to the destination Telecom Adapter (e.g., Safaricom M-Pesa).</w:t>
      </w:r>
    </w:p>
    <w:p>
      <w:pPr>
        <w:pStyle w:val="ListBullet"/>
        <w:spacing w:after="60" w:line="276" w:lineRule="auto"/>
      </w:pPr>
      <w:r>
        <w:rPr>
          <w:rFonts w:ascii="Calibri" w:hAnsi="Calibri"/>
          <w:b/>
          <w:color w:val="2F3E46"/>
          <w:sz w:val="22"/>
        </w:rPr>
        <w:t>Step 6 (Double-Entry Commit):</w:t>
      </w:r>
      <w:r>
        <w:rPr>
          <w:rFonts w:ascii="Calibri" w:hAnsi="Calibri"/>
          <w:color w:val="2F3E46"/>
          <w:sz w:val="22"/>
        </w:rPr>
        <w:t>Upon receiving HTTP 200 OK from the Telecom, Go writes two rows into `ledger_entries`: a -$500 Debit to sender's Business Account and a +$500 Credit to destination Settlement Account. The transaction commits (`COMMIT`).</w:t>
      </w:r>
    </w:p>
    <w:p>
      <w:pPr>
        <w:keepNext/>
        <w:spacing w:before="360" w:after="120"/>
      </w:pPr>
      <w:r>
        <w:rPr>
          <w:rFonts w:ascii="Calibri" w:hAnsi="Calibri"/>
          <w:b/>
          <w:color w:val="1B365D"/>
          <w:sz w:val="32"/>
        </w:rPr>
        <w:t>4. Frontend Integration &amp; Data Flow</w:t>
      </w:r>
    </w:p>
    <w:p>
      <w:pPr>
        <w:spacing w:after="120" w:line="276" w:lineRule="auto"/>
      </w:pPr>
      <w:r>
        <w:rPr>
          <w:rFonts w:ascii="Calibri" w:hAnsi="Calibri"/>
          <w:color w:val="2F3E46"/>
          <w:sz w:val="22"/>
        </w:rPr>
        <w:t>The React TypeScript dashboard provides a seamless visual interface that Abstracts away USSD complexity. It integrates with the backend via two main channels:</w:t>
      </w:r>
    </w:p>
    <w:p>
      <w:pPr>
        <w:pStyle w:val="ListBullet"/>
        <w:spacing w:after="60" w:line="276" w:lineRule="auto"/>
      </w:pPr>
      <w:r>
        <w:rPr>
          <w:rFonts w:ascii="Calibri" w:hAnsi="Calibri"/>
          <w:b/>
          <w:color w:val="2F3E46"/>
          <w:sz w:val="22"/>
        </w:rPr>
        <w:t xml:space="preserve">REST / gRPC Web Endpoints: </w:t>
      </w:r>
      <w:r>
        <w:rPr>
          <w:rFonts w:ascii="Calibri" w:hAnsi="Calibri"/>
          <w:color w:val="2F3E46"/>
          <w:sz w:val="22"/>
        </w:rPr>
        <w:t>Used for immediate user actions such as account registration, invoice creation, personal/business wallet switching, and initiating transfers.</w:t>
      </w:r>
    </w:p>
    <w:p>
      <w:pPr>
        <w:pStyle w:val="ListBullet"/>
        <w:spacing w:after="60" w:line="276" w:lineRule="auto"/>
      </w:pPr>
      <w:r>
        <w:rPr>
          <w:rFonts w:ascii="Calibri" w:hAnsi="Calibri"/>
          <w:b/>
          <w:color w:val="2F3E46"/>
          <w:sz w:val="22"/>
        </w:rPr>
        <w:t xml:space="preserve">Server-Sent Events (SSE) / WebSockets: </w:t>
      </w:r>
      <w:r>
        <w:rPr>
          <w:rFonts w:ascii="Calibri" w:hAnsi="Calibri"/>
          <w:color w:val="2F3E46"/>
          <w:sz w:val="22"/>
        </w:rPr>
        <w:t>Cross-border payment confirmation across telecom networks can take 3-10 seconds. The frontend uses SSE or WebSocket channels to receive real-time status updates (e.g., PENDING -&gt; ISO_PROCESSED -&gt; CLEARED) without forcing manual page refreshes.</w:t>
      </w:r>
    </w:p>
    <w:p>
      <w:pPr>
        <w:keepNext/>
        <w:spacing w:before="280" w:after="80"/>
      </w:pPr>
      <w:r>
        <w:rPr>
          <w:rFonts w:ascii="Calibri" w:hAnsi="Calibri"/>
          <w:b/>
          <w:color w:val="008080"/>
          <w:sz w:val="26"/>
        </w:rPr>
        <w:t>4.1 Account Isolation on the UI</w:t>
      </w:r>
    </w:p>
    <w:p>
      <w:pPr>
        <w:spacing w:after="120" w:line="276" w:lineRule="auto"/>
      </w:pPr>
      <w:r>
        <w:rPr>
          <w:rFonts w:ascii="Calibri" w:hAnsi="Calibri"/>
          <w:color w:val="2F3E46"/>
          <w:sz w:val="22"/>
        </w:rPr>
        <w:t>The React UI features a persistent toggle between the Personal Wallet and Business Wallet. The state engine enforces that invoice payments can ONLY be funded from the Business Wallet, preventing accidental personal capital depletion.</w:t>
      </w:r>
    </w:p>
    <w:p>
      <w:pPr>
        <w:keepNext/>
        <w:spacing w:before="360" w:after="120"/>
      </w:pPr>
      <w:r>
        <w:rPr>
          <w:rFonts w:ascii="Calibri" w:hAnsi="Calibri"/>
          <w:b/>
          <w:color w:val="1B365D"/>
          <w:sz w:val="32"/>
        </w:rPr>
        <w:t>5. Database Schema &amp; Financial Integrity Rules</w:t>
      </w:r>
    </w:p>
    <w:p>
      <w:pPr>
        <w:spacing w:after="120" w:line="276" w:lineRule="auto"/>
      </w:pPr>
      <w:r>
        <w:rPr>
          <w:rFonts w:ascii="Calibri" w:hAnsi="Calibri"/>
          <w:color w:val="2F3E46"/>
          <w:sz w:val="22"/>
        </w:rPr>
        <w:t>To prevent balance corruption during concurrent transfers, VUKA uses strict double-entry ledger rules in PostgreSQL.</w:t>
      </w:r>
    </w:p>
    <w:tbl>
      <w:tblPr>
        <w:tblW w:type="auto" w:w="0"/>
        <w:jc w:val="center"/>
        <w:tblLook w:firstColumn="1" w:firstRow="1" w:lastColumn="0" w:lastRow="0" w:noHBand="0" w:noVBand="1" w:val="04A0"/>
      </w:tblPr>
      <w:tblGrid>
        <w:gridCol w:w="9360"/>
      </w:tblGrid>
      <w:tr>
        <w:tc>
          <w:tcPr>
            <w:tcW w:type="dxa" w:w="9360"/>
            <w:shd w:fill="F4F6F8"/>
            <w:tcMar>
              <w:top w:w="140" w:type="dxa"/>
              <w:bottom w:w="140" w:type="dxa"/>
              <w:left w:w="200" w:type="dxa"/>
              <w:right w:w="200" w:type="dxa"/>
            </w:tcMar>
            <w:tcBorders>
              <w:left w:val="single" w:sz="24" w:space="0" w:color="1B365D"/>
              <w:top w:val="none"/>
              <w:right w:val="none"/>
              <w:bottom w:val="none"/>
            </w:tcBorders>
          </w:tcPr>
          <w:p>
            <w:pPr>
              <w:spacing w:after="80"/>
            </w:pPr>
            <w:r>
              <w:rPr>
                <w:rFonts w:ascii="Calibri" w:hAnsi="Calibri"/>
                <w:b/>
                <w:color w:val="1B365D"/>
                <w:sz w:val="22"/>
              </w:rPr>
              <w:t>Golden Rule of VUKA Accounting</w:t>
              <w:br/>
            </w:r>
            <w:r>
              <w:rPr>
                <w:rFonts w:ascii="Calibri" w:hAnsi="Calibri"/>
                <w:i/>
                <w:color w:val="2F3E46"/>
                <w:sz w:val="21"/>
              </w:rPr>
              <w:t>No account row ever contains a 'balance' column. A balance is strictly defined as SUM(amount) FROM ledger_entries WHERE account_id = X. Every transfer creates exactly two linked ledger entries whose sum EQUALS ZERO.</w:t>
            </w:r>
          </w:p>
        </w:tc>
      </w:tr>
    </w:tbl>
    <w:p>
      <w:pPr>
        <w:spacing w:after="120"/>
      </w:pPr>
    </w:p>
    <w:p>
      <w:pPr>
        <w:keepNext/>
        <w:spacing w:before="280" w:after="80"/>
      </w:pPr>
      <w:r>
        <w:rPr>
          <w:rFonts w:ascii="Calibri" w:hAnsi="Calibri"/>
          <w:b/>
          <w:color w:val="008080"/>
          <w:sz w:val="26"/>
        </w:rPr>
        <w:t>5.1 Core Entity Relationship Overview</w:t>
      </w:r>
    </w:p>
    <w:p>
      <w:pPr>
        <w:pStyle w:val="ListBullet"/>
        <w:spacing w:after="60" w:line="276" w:lineRule="auto"/>
      </w:pPr>
      <w:r>
        <w:rPr>
          <w:rFonts w:ascii="Calibri" w:hAnsi="Calibri"/>
          <w:b/>
          <w:color w:val="2F3E46"/>
          <w:sz w:val="22"/>
        </w:rPr>
        <w:t>Users Table:</w:t>
      </w:r>
      <w:r>
        <w:rPr>
          <w:rFonts w:ascii="Calibri" w:hAnsi="Calibri"/>
          <w:color w:val="2F3E46"/>
          <w:sz w:val="22"/>
        </w:rPr>
        <w:t>Stores user credentials, KYC verification state, and business registration numbers.</w:t>
      </w:r>
    </w:p>
    <w:p>
      <w:pPr>
        <w:pStyle w:val="ListBullet"/>
        <w:spacing w:after="60" w:line="276" w:lineRule="auto"/>
      </w:pPr>
      <w:r>
        <w:rPr>
          <w:rFonts w:ascii="Calibri" w:hAnsi="Calibri"/>
          <w:b/>
          <w:color w:val="2F3E46"/>
          <w:sz w:val="22"/>
        </w:rPr>
        <w:t>Accounts Table:</w:t>
      </w:r>
      <w:r>
        <w:rPr>
          <w:rFonts w:ascii="Calibri" w:hAnsi="Calibri"/>
          <w:color w:val="2F3E46"/>
          <w:sz w:val="22"/>
        </w:rPr>
        <w:t>Linked to Users. Contains account_type ENUM ('PERSONAL', 'BUSINESS', 'SETTLEMENT', 'FEES').</w:t>
      </w:r>
    </w:p>
    <w:p>
      <w:pPr>
        <w:pStyle w:val="ListBullet"/>
        <w:spacing w:after="60" w:line="276" w:lineRule="auto"/>
      </w:pPr>
      <w:r>
        <w:rPr>
          <w:rFonts w:ascii="Calibri" w:hAnsi="Calibri"/>
          <w:b/>
          <w:color w:val="2F3E46"/>
          <w:sz w:val="22"/>
        </w:rPr>
        <w:t>Transactions Table:</w:t>
      </w:r>
      <w:r>
        <w:rPr>
          <w:rFonts w:ascii="Calibri" w:hAnsi="Calibri"/>
          <w:color w:val="2F3E46"/>
          <w:sz w:val="22"/>
        </w:rPr>
        <w:t>Header record storing invoice_number, idempotency_key, amount, currency, and transaction status.</w:t>
      </w:r>
    </w:p>
    <w:p>
      <w:pPr>
        <w:pStyle w:val="ListBullet"/>
        <w:spacing w:after="60" w:line="276" w:lineRule="auto"/>
      </w:pPr>
      <w:r>
        <w:rPr>
          <w:rFonts w:ascii="Calibri" w:hAnsi="Calibri"/>
          <w:b/>
          <w:color w:val="2F3E46"/>
          <w:sz w:val="22"/>
        </w:rPr>
        <w:t>Ledger Entries Table:</w:t>
      </w:r>
      <w:r>
        <w:rPr>
          <w:rFonts w:ascii="Calibri" w:hAnsi="Calibri"/>
          <w:color w:val="2F3E46"/>
          <w:sz w:val="22"/>
        </w:rPr>
        <w:t>Immutable log of debits (negative) and credits (positive) referencing specific Transaction IDs.</w:t>
      </w:r>
    </w:p>
    <w:p>
      <w:pPr>
        <w:keepNext/>
        <w:spacing w:before="360" w:after="120"/>
      </w:pPr>
      <w:r>
        <w:rPr>
          <w:rFonts w:ascii="Calibri" w:hAnsi="Calibri"/>
          <w:b/>
          <w:color w:val="1B365D"/>
          <w:sz w:val="32"/>
        </w:rPr>
        <w:t>6. Competitive Uniqueness &amp; System Innovations</w:t>
      </w:r>
    </w:p>
    <w:p>
      <w:pPr>
        <w:spacing w:after="120" w:line="276" w:lineRule="auto"/>
      </w:pPr>
      <w:r>
        <w:rPr>
          <w:rFonts w:ascii="Calibri" w:hAnsi="Calibri"/>
          <w:color w:val="2F3E46"/>
          <w:sz w:val="22"/>
        </w:rPr>
        <w:t>VUKA stands out at the National Bank of Rwanda Fintech Innovation Hackathon due to three core architectural innovations:</w:t>
      </w:r>
    </w:p>
    <w:p>
      <w:pPr>
        <w:pStyle w:val="ListBullet"/>
        <w:spacing w:after="60" w:line="276" w:lineRule="auto"/>
      </w:pPr>
      <w:r>
        <w:rPr>
          <w:rFonts w:ascii="Calibri" w:hAnsi="Calibri"/>
          <w:b/>
          <w:color w:val="2F3E46"/>
          <w:sz w:val="22"/>
        </w:rPr>
        <w:t xml:space="preserve">1. Bank-Grade Double-Entry Core: </w:t>
      </w:r>
      <w:r>
        <w:rPr>
          <w:rFonts w:ascii="Calibri" w:hAnsi="Calibri"/>
          <w:color w:val="2F3E46"/>
          <w:sz w:val="22"/>
        </w:rPr>
        <w:t>Unlike basic consumer USSD apps, VUKA uses native double-entry logic inside Go and SQL, making it immediately audit-ready for commercial banking regulations.</w:t>
      </w:r>
    </w:p>
    <w:p>
      <w:pPr>
        <w:pStyle w:val="ListBullet"/>
        <w:spacing w:after="60" w:line="276" w:lineRule="auto"/>
      </w:pPr>
      <w:r>
        <w:rPr>
          <w:rFonts w:ascii="Calibri" w:hAnsi="Calibri"/>
          <w:b/>
          <w:color w:val="2F3E46"/>
          <w:sz w:val="22"/>
        </w:rPr>
        <w:t xml:space="preserve">2. Native ISO 20022 Compliance: </w:t>
      </w:r>
      <w:r>
        <w:rPr>
          <w:rFonts w:ascii="Calibri" w:hAnsi="Calibri"/>
          <w:color w:val="2F3E46"/>
          <w:sz w:val="22"/>
        </w:rPr>
        <w:t>By implementing ISO 20022 message translation out of the box, VUKA is prepared for direct passporting and central bank integration across Ghana, Kenya, and Rwanda corridors.</w:t>
      </w:r>
    </w:p>
    <w:p>
      <w:pPr>
        <w:pStyle w:val="ListBullet"/>
        <w:spacing w:after="60" w:line="276" w:lineRule="auto"/>
      </w:pPr>
      <w:r>
        <w:rPr>
          <w:rFonts w:ascii="Calibri" w:hAnsi="Calibri"/>
          <w:b/>
          <w:color w:val="2F3E46"/>
          <w:sz w:val="22"/>
        </w:rPr>
        <w:t xml:space="preserve">3. Trust &amp; Credit Track Record: </w:t>
      </w:r>
      <w:r>
        <w:rPr>
          <w:rFonts w:ascii="Calibri" w:hAnsi="Calibri"/>
          <w:color w:val="2F3E46"/>
          <w:sz w:val="22"/>
        </w:rPr>
        <w:t>Every completed invoice transaction generates immutable trust metrics, creating an in-app credit score that unlocks trade financing for previously informal SME traders.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