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56"/>
          <w:szCs w:val="56"/>
        </w:rPr>
        <w:t xml:space="preserve">VUKA</w:t>
      </w:r>
    </w:p>
    <w:p>
      <w:pPr>
        <w:spacing w:after="40"/>
      </w:pPr>
      <w:r>
        <w:rPr>
          <w:i/>
          <w:iCs/>
          <w:color w:val="555555"/>
          <w:sz w:val="26"/>
          <w:szCs w:val="26"/>
        </w:rPr>
        <w:t xml:space="preserve">Rise &amp; Cross Over</w:t>
      </w:r>
    </w:p>
    <w:p>
      <w:pPr>
        <w:spacing w:after="300"/>
      </w:pPr>
      <w:r>
        <w:rPr>
          <w:color w:val="555555"/>
          <w:sz w:val="20"/>
          <w:szCs w:val="20"/>
        </w:rPr>
        <w:t xml:space="preserve">Project Description — National Bank of Rwanda FinTech Innovation Hackathon 2026</w:t>
      </w:r>
    </w:p>
    <w:p>
      <w:pPr>
        <w:pBdr>
          <w:bottom w:val="single" w:color="CCCCCC" w:sz="6" w:space="1"/>
        </w:pBdr>
        <w:spacing w:after="200" w:before="200"/>
      </w:pPr>
      <w:r>
        <w:t xml:space="preserve"/>
      </w:r>
    </w:p>
    <w:p>
      <w:pPr>
        <w:pStyle w:val="Heading1"/>
        <w:spacing w:after="160" w:before="360"/>
      </w:pPr>
      <w:r>
        <w:rPr>
          <w:b/>
          <w:bCs/>
          <w:color w:val="0F766E"/>
        </w:rPr>
        <w:t xml:space="preserve">1. What VUKA Is, In One Sentence</w:t>
      </w:r>
    </w:p>
    <w:p>
      <w:pPr>
        <w:spacing w:after="160" w:line="300"/>
      </w:pPr>
      <w:r>
        <w:rPr>
          <w:b/>
          <w:bCs/>
        </w:rPr>
        <w:t xml:space="preserve">VUKA is a trade-focused payment application for East African small and medium traders, built on top of existing mobile money networks, that gives traders the business tools, transaction transparency, and trust infrastructure that personal remittance rails were never designed to provide.</w:t>
      </w:r>
    </w:p>
    <w:p>
      <w:pPr>
        <w:pStyle w:val="Heading1"/>
        <w:spacing w:after="160" w:before="360"/>
      </w:pPr>
      <w:r>
        <w:rPr>
          <w:b/>
          <w:bCs/>
          <w:color w:val="0F766E"/>
        </w:rPr>
        <w:t xml:space="preserve">2. The Problem — Restated Accurately</w:t>
      </w:r>
    </w:p>
    <w:p>
      <w:pPr>
        <w:spacing w:after="160" w:line="300"/>
      </w:pPr>
      <w:r>
        <w:t xml:space="preserve">Basic cross-border mobile money transfers already exist in East Africa. MTN Rwanda and Safaricom M-Pesa, for example, have supported direct wallet-to-wallet transfers since 2015 via USSD codes. These channels, and pan-African infrastructure such as Onafriq (formerly MFS Africa) and PAPSS, have made it technically possible to move money across a handful of African borders for close to a decade.</w:t>
      </w:r>
    </w:p>
    <w:p>
      <w:pPr>
        <w:spacing w:after="160" w:line="300"/>
      </w:pPr>
      <w:r>
        <w:t xml:space="preserve">The real problem is not that this connectivity is missing. It is that everything built so far was designed for personal remittances — a person sending money home to family — not for business trade. This distinction produces five concrete, specific gaps that directly affect a small trader running a cross-border business:</w:t>
      </w:r>
    </w:p>
    <w:p>
      <w:pPr>
        <w:pStyle w:val="ListParagraph"/>
        <w:numPr>
          <w:ilvl w:val="0"/>
          <w:numId w:val="2"/>
        </w:numPr>
        <w:spacing w:after="100" w:line="280"/>
      </w:pPr>
      <w:r>
        <w:t xml:space="preserve">Transaction limits capped around USD 1,700, far below what a real bulk trade payment requires.</w:t>
      </w:r>
    </w:p>
    <w:p>
      <w:pPr>
        <w:pStyle w:val="ListParagraph"/>
        <w:numPr>
          <w:ilvl w:val="0"/>
          <w:numId w:val="2"/>
        </w:numPr>
        <w:spacing w:after="100" w:line="280"/>
      </w:pPr>
      <w:r>
        <w:t xml:space="preserve">No way to link a payment to a specific order or invoice, so neither party has a clear record of what was paid for.</w:t>
      </w:r>
    </w:p>
    <w:p>
      <w:pPr>
        <w:pStyle w:val="ListParagraph"/>
        <w:numPr>
          <w:ilvl w:val="0"/>
          <w:numId w:val="2"/>
        </w:numPr>
        <w:spacing w:after="100" w:line="280"/>
      </w:pPr>
      <w:r>
        <w:t xml:space="preserve">No separation between a trader's personal spending and business income, making bookkeeping and tax preparation nearly impossible.</w:t>
      </w:r>
    </w:p>
    <w:p>
      <w:pPr>
        <w:pStyle w:val="ListParagraph"/>
        <w:numPr>
          <w:ilvl w:val="0"/>
          <w:numId w:val="2"/>
        </w:numPr>
        <w:spacing w:after="100" w:line="280"/>
      </w:pPr>
      <w:r>
        <w:t xml:space="preserve">No visible trust or payment history between a buyer and a new supplier, forcing traders into paying 50–60% upfront before goods are even shipped, simply because there is no way to prove reliability.</w:t>
      </w:r>
    </w:p>
    <w:p>
      <w:pPr>
        <w:pStyle w:val="ListParagraph"/>
        <w:numPr>
          <w:ilvl w:val="0"/>
          <w:numId w:val="2"/>
        </w:numPr>
        <w:spacing w:after="100" w:line="280"/>
      </w:pPr>
      <w:r>
        <w:t xml:space="preserve">An interface limited to blind USSD menus — no live confirmation, no visible exchange rate before committing, no transaction history a trader can review.</w:t>
      </w:r>
    </w:p>
    <w:p>
      <w:pPr>
        <w:spacing w:after="160" w:line="300"/>
      </w:pPr>
      <w:r>
        <w:t xml:space="preserve">This is the gap VUKA is built to close. VUKA does not attempt to replace the payment rails that already exist — it builds the trader-facing layer on top of them that has never been built.</w:t>
      </w:r>
    </w:p>
    <w:p>
      <w:pPr>
        <w:pStyle w:val="Heading1"/>
        <w:spacing w:after="160" w:before="360"/>
      </w:pPr>
      <w:r>
        <w:rPr>
          <w:b/>
          <w:bCs/>
          <w:color w:val="0F766E"/>
        </w:rPr>
        <w:t xml:space="preserve">3. What VUKA Does</w:t>
      </w:r>
    </w:p>
    <w:p>
      <w:pPr>
        <w:pStyle w:val="Heading2"/>
        <w:spacing w:after="120" w:before="240"/>
      </w:pPr>
      <w:r>
        <w:rPr>
          <w:b/>
          <w:bCs/>
          <w:color w:val="0B1220"/>
        </w:rPr>
        <w:t xml:space="preserve">3.1 Invoice-Linked Payments</w:t>
      </w:r>
    </w:p>
    <w:p>
      <w:pPr>
        <w:spacing w:after="160" w:line="300"/>
      </w:pPr>
      <w:r>
        <w:t xml:space="preserve">A trader initiates a payment tied to a specific order or invoice number rather than a bare phone number. Both the buyer and the supplier retain a clear, timestamped record of exactly what the payment was for, reducing disputes and manual reconciliation.</w:t>
      </w:r>
    </w:p>
    <w:p>
      <w:pPr>
        <w:pStyle w:val="Heading2"/>
        <w:spacing w:after="120" w:before="240"/>
      </w:pPr>
      <w:r>
        <w:rPr>
          <w:b/>
          <w:bCs/>
          <w:color w:val="0B1220"/>
        </w:rPr>
        <w:t xml:space="preserve">3.2 Business and Personal Money, Separated</w:t>
      </w:r>
    </w:p>
    <w:p>
      <w:pPr>
        <w:spacing w:after="160" w:line="300"/>
      </w:pPr>
      <w:r>
        <w:t xml:space="preserve">Every VUKA user holds a distinct business balance, separate from their personal MTN or M-Pesa wallet. Income and expenses tied to trade are tracked independently, giving traders a clear, exportable picture of how their business is actually performing — the first step toward proper bookkeeping, tax readiness, and eventually credit history.</w:t>
      </w:r>
    </w:p>
    <w:p>
      <w:pPr>
        <w:pStyle w:val="Heading2"/>
        <w:spacing w:after="120" w:before="240"/>
      </w:pPr>
      <w:r>
        <w:rPr>
          <w:b/>
          <w:bCs/>
          <w:color w:val="0B1220"/>
        </w:rPr>
        <w:t xml:space="preserve">3.3 Trade-Sized Transactions</w:t>
      </w:r>
    </w:p>
    <w:p>
      <w:pPr>
        <w:spacing w:after="160" w:line="300"/>
      </w:pPr>
      <w:r>
        <w:t xml:space="preserve">VUKA is designed around real trade transaction sizes, not personal-remittance limits, with a verification and compliance process appropriate for business-scale transfers.</w:t>
      </w:r>
    </w:p>
    <w:p>
      <w:pPr>
        <w:pStyle w:val="Heading2"/>
        <w:spacing w:after="120" w:before="240"/>
      </w:pPr>
      <w:r>
        <w:rPr>
          <w:b/>
          <w:bCs/>
          <w:color w:val="0B1220"/>
        </w:rPr>
        <w:t xml:space="preserve">3.4 Visible Trust and Payment History</w:t>
      </w:r>
    </w:p>
    <w:p>
      <w:pPr>
        <w:spacing w:after="160" w:line="300"/>
      </w:pPr>
      <w:r>
        <w:t xml:space="preserve">Every completed transaction contributes to a trader's visible track record within VUKA. A new supplier can see a buyer's history of on-time payments before agreeing to terms, reducing the need for large upfront payments and building the kind of trust that today only comes from years of personal relationship.</w:t>
      </w:r>
    </w:p>
    <w:p>
      <w:pPr>
        <w:pStyle w:val="Heading2"/>
        <w:spacing w:after="120" w:before="240"/>
      </w:pPr>
      <w:r>
        <w:rPr>
          <w:b/>
          <w:bCs/>
          <w:color w:val="0B1220"/>
        </w:rPr>
        <w:t xml:space="preserve">3.5 A Real Interface</w:t>
      </w:r>
    </w:p>
    <w:p>
      <w:pPr>
        <w:spacing w:after="160" w:line="300"/>
      </w:pPr>
      <w:r>
        <w:t xml:space="preserve">VUKA replaces the blind USSD experience with a proper application: live payment confirmation, visible exchange rates before a transfer is committed, a reviewable transaction history, and clear status tracking from initiation to settlement.</w:t>
      </w:r>
    </w:p>
    <w:p>
      <w:pPr>
        <w:pStyle w:val="Heading1"/>
        <w:spacing w:after="160" w:before="360"/>
      </w:pPr>
      <w:r>
        <w:rPr>
          <w:b/>
          <w:bCs/>
          <w:color w:val="0F766E"/>
        </w:rPr>
        <w:t xml:space="preserve">4. How VUKA Works, Technically</w:t>
      </w:r>
    </w:p>
    <w:p>
      <w:pPr>
        <w:spacing w:after="160" w:line="300"/>
      </w:pPr>
      <w:r>
        <w:t xml:space="preserve">VUKA sits on top of existing telecom mobile money infrastructure rather than competing with it. Underneath the trader-facing application is a five-layer architecture built for the reliability that moving real money requires:</w:t>
      </w:r>
    </w:p>
    <w:p>
      <w:pPr>
        <w:pStyle w:val="ListParagraph"/>
        <w:numPr>
          <w:ilvl w:val="0"/>
          <w:numId w:val="3"/>
        </w:numPr>
        <w:spacing w:after="140" w:line="280"/>
      </w:pPr>
      <w:r>
        <w:t xml:space="preserve">Interoperability Engine — holds liquidity pools inside each telecom network and automatically rebalances funds across borders, avoiding dependence on banks or international correspondent routing.</w:t>
      </w:r>
    </w:p>
    <w:p>
      <w:pPr>
        <w:pStyle w:val="ListParagraph"/>
        <w:numPr>
          <w:ilvl w:val="0"/>
          <w:numId w:val="3"/>
        </w:numPr>
        <w:spacing w:after="140" w:line="280"/>
      </w:pPr>
      <w:r>
        <w:t xml:space="preserve">Messaging Standard Layer (Python) — translates every transaction into the global ISO 20022 format, eliminating the data mismatches that cause failed transfers and manual intervention between different providers.</w:t>
      </w:r>
    </w:p>
    <w:p>
      <w:pPr>
        <w:pStyle w:val="ListParagraph"/>
        <w:numPr>
          <w:ilvl w:val="0"/>
          <w:numId w:val="3"/>
        </w:numPr>
        <w:spacing w:after="140" w:line="280"/>
      </w:pPr>
      <w:r>
        <w:t xml:space="preserve">Bridge &amp; Ledger Engine (Go) — the core money-movement logic, using safe concurrency so simultaneous transfers can never corrupt a balance.</w:t>
      </w:r>
    </w:p>
    <w:p>
      <w:pPr>
        <w:pStyle w:val="ListParagraph"/>
        <w:numPr>
          <w:ilvl w:val="0"/>
          <w:numId w:val="3"/>
        </w:numPr>
        <w:spacing w:after="140" w:line="280"/>
      </w:pPr>
      <w:r>
        <w:t xml:space="preserve">Ledger (PostgreSQL) — enforces strict double-entry accounting; every transfer is recorded as a linked debit and credit that must net to zero, with no balance ever updated directly.</w:t>
      </w:r>
    </w:p>
    <w:p>
      <w:pPr>
        <w:pStyle w:val="ListParagraph"/>
        <w:numPr>
          <w:ilvl w:val="0"/>
          <w:numId w:val="3"/>
        </w:numPr>
        <w:spacing w:after="140" w:line="280"/>
      </w:pPr>
      <w:r>
        <w:t xml:space="preserve">Dashboard (React) — the live, user-facing interface for traders: confirmation, transaction history, and status tracking.</w:t>
      </w:r>
    </w:p>
    <w:p>
      <w:pPr>
        <w:spacing w:after="160" w:line="300"/>
      </w:pPr>
      <w:r>
        <w:t xml:space="preserve">Five reliability principles are non-negotiable across every layer: double-entry bookkeeping for every transfer, idempotency keys to prevent duplicate charges, automatic reversal on partial failure, full end-to-end transaction tracing, and daily reconciliation against telecom-reported balances.</w:t>
      </w:r>
    </w:p>
    <w:p>
      <w:pPr>
        <w:pStyle w:val="Heading1"/>
        <w:spacing w:after="160" w:before="360"/>
      </w:pPr>
      <w:r>
        <w:rPr>
          <w:b/>
          <w:bCs/>
          <w:color w:val="0F766E"/>
        </w:rPr>
        <w:t xml:space="preserve">5. How VUKA Relates to Existing Players</w:t>
      </w:r>
    </w:p>
    <w:p>
      <w:pPr>
        <w:spacing w:after="160" w:line="300"/>
      </w:pPr>
      <w:r>
        <w:t xml:space="preserve">VUKA is not positioned to compete with the infrastructure providers already operating in this space:</w:t>
      </w:r>
    </w:p>
    <w:p>
      <w:pPr>
        <w:pStyle w:val="ListParagraph"/>
        <w:numPr>
          <w:ilvl w:val="0"/>
          <w:numId w:val="2"/>
        </w:numPr>
        <w:spacing w:after="100" w:line="280"/>
      </w:pPr>
      <w:r>
        <w:t xml:space="preserve">Onafriq (formerly MFS Africa) connects mobile money wallets and bank accounts across dozens of African markets, but operates purely as backend infrastructure — banks, telecoms, and fintechs build their own front end on top of it. It has no trader-facing application.</w:t>
      </w:r>
    </w:p>
    <w:p>
      <w:pPr>
        <w:pStyle w:val="ListParagraph"/>
        <w:numPr>
          <w:ilvl w:val="0"/>
          <w:numId w:val="2"/>
        </w:numPr>
        <w:spacing w:after="100" w:line="280"/>
      </w:pPr>
      <w:r>
        <w:t xml:space="preserve">PAPSS (Pan-African Payment and Settlement System) provides continental settlement infrastructure between central banks and commercial banks, but is not built for informal SME traders using mobile money.</w:t>
      </w:r>
    </w:p>
    <w:p>
      <w:pPr>
        <w:pStyle w:val="ListParagraph"/>
        <w:numPr>
          <w:ilvl w:val="0"/>
          <w:numId w:val="2"/>
        </w:numPr>
        <w:spacing w:after="100" w:line="280"/>
      </w:pPr>
      <w:r>
        <w:t xml:space="preserve">Direct telecom corridors, such as MTN Rwanda to M-Pesa Kenya via USSD, move money but offer no invoicing, no trust history, no bookkeeping separation, and no visual interface.</w:t>
      </w:r>
    </w:p>
    <w:p>
      <w:pPr>
        <w:spacing w:after="160" w:line="300"/>
      </w:pPr>
      <w:r>
        <w:t xml:space="preserve">VUKA's position: rather than building new payment rails to compete with this infrastructure, VUKA is the missing front door — the trade-specific layer that makes existing rails genuinely usable for business, not just personal remittance.</w:t>
      </w:r>
    </w:p>
    <w:p>
      <w:pPr>
        <w:pStyle w:val="Heading1"/>
        <w:spacing w:after="160" w:before="360"/>
      </w:pPr>
      <w:r>
        <w:rPr>
          <w:b/>
          <w:bCs/>
          <w:color w:val="0F766E"/>
        </w:rPr>
        <w:t xml:space="preserve">6. Why Rwanda, Why Now</w:t>
      </w:r>
    </w:p>
    <w:p>
      <w:pPr>
        <w:pStyle w:val="ListParagraph"/>
        <w:numPr>
          <w:ilvl w:val="0"/>
          <w:numId w:val="2"/>
        </w:numPr>
        <w:spacing w:after="100" w:line="280"/>
      </w:pPr>
      <w:r>
        <w:t xml:space="preserve">Active fintech passporting agreements with Ghana (February 2025) and Kenya (March 2026) open the legal pathway for cross-border fintech licensing.</w:t>
      </w:r>
    </w:p>
    <w:p>
      <w:pPr>
        <w:pStyle w:val="ListParagraph"/>
        <w:numPr>
          <w:ilvl w:val="0"/>
          <w:numId w:val="2"/>
        </w:numPr>
        <w:spacing w:after="100" w:line="280"/>
      </w:pPr>
      <w:r>
        <w:t xml:space="preserve">The global ISO 20022 messaging standard transition deadline has passed, giving Rwanda the opportunity to lead African adoption of a unified payment message format.</w:t>
      </w:r>
    </w:p>
    <w:p>
      <w:pPr>
        <w:pStyle w:val="ListParagraph"/>
        <w:numPr>
          <w:ilvl w:val="0"/>
          <w:numId w:val="2"/>
        </w:numPr>
        <w:spacing w:after="100" w:line="280"/>
      </w:pPr>
      <w:r>
        <w:t xml:space="preserve">Rwanda's mobile money penetration and the National Bank of Rwanda's own interoperability agenda create a strong regulatory and market foundation for a trade-focused product built specifically for this region.</w:t>
      </w:r>
    </w:p>
    <w:p>
      <w:pPr>
        <w:pStyle w:val="Heading1"/>
        <w:spacing w:after="160" w:before="360"/>
      </w:pPr>
      <w:r>
        <w:rPr>
          <w:b/>
          <w:bCs/>
          <w:color w:val="0F766E"/>
        </w:rPr>
        <w:t xml:space="preserve">7. Roadmap</w:t>
      </w:r>
    </w:p>
    <w:p>
      <w:pPr>
        <w:pStyle w:val="Heading2"/>
        <w:spacing w:after="120" w:before="240"/>
      </w:pPr>
      <w:r>
        <w:rPr>
          <w:b/>
          <w:bCs/>
          <w:color w:val="0B1220"/>
        </w:rPr>
        <w:t xml:space="preserve">Phase 1 — Hackathon MVP</w:t>
      </w:r>
    </w:p>
    <w:p>
      <w:pPr>
        <w:pStyle w:val="ListParagraph"/>
        <w:numPr>
          <w:ilvl w:val="0"/>
          <w:numId w:val="2"/>
        </w:numPr>
        <w:spacing w:after="100" w:line="280"/>
      </w:pPr>
      <w:r>
        <w:t xml:space="preserve">PostgreSQL double-entry ledger (accounts, transfers, ledger entries)</w:t>
      </w:r>
    </w:p>
    <w:p>
      <w:pPr>
        <w:pStyle w:val="ListParagraph"/>
        <w:numPr>
          <w:ilvl w:val="0"/>
          <w:numId w:val="2"/>
        </w:numPr>
        <w:spacing w:after="100" w:line="280"/>
      </w:pPr>
      <w:r>
        <w:t xml:space="preserve">Go transfer engine with full unit test coverage</w:t>
      </w:r>
    </w:p>
    <w:p>
      <w:pPr>
        <w:pStyle w:val="ListParagraph"/>
        <w:numPr>
          <w:ilvl w:val="0"/>
          <w:numId w:val="2"/>
        </w:numPr>
        <w:spacing w:after="100" w:line="280"/>
      </w:pPr>
      <w:r>
        <w:t xml:space="preserve">One working telecom adapter with a completed end-to-end simulated transfer</w:t>
      </w:r>
    </w:p>
    <w:p>
      <w:pPr>
        <w:pStyle w:val="ListParagraph"/>
        <w:numPr>
          <w:ilvl w:val="0"/>
          <w:numId w:val="2"/>
        </w:numPr>
        <w:spacing w:after="100" w:line="280"/>
      </w:pPr>
      <w:r>
        <w:t xml:space="preserve">Business/personal balance separation implemented and demoable</w:t>
      </w:r>
    </w:p>
    <w:p>
      <w:pPr>
        <w:pStyle w:val="Heading2"/>
        <w:spacing w:after="120" w:before="240"/>
      </w:pPr>
      <w:r>
        <w:rPr>
          <w:b/>
          <w:bCs/>
          <w:color w:val="0B1220"/>
        </w:rPr>
        <w:t xml:space="preserve">Phase 2 — Pilot (Rwanda–Kenya Corridor)</w:t>
      </w:r>
    </w:p>
    <w:p>
      <w:pPr>
        <w:pStyle w:val="ListParagraph"/>
        <w:numPr>
          <w:ilvl w:val="0"/>
          <w:numId w:val="2"/>
        </w:numPr>
        <w:spacing w:after="100" w:line="280"/>
      </w:pPr>
      <w:r>
        <w:t xml:space="preserve">Partnership discussions with at least one telecom provider or existing aggregator (e.g. Onafriq) for real rail access</w:t>
      </w:r>
    </w:p>
    <w:p>
      <w:pPr>
        <w:pStyle w:val="ListParagraph"/>
        <w:numPr>
          <w:ilvl w:val="0"/>
          <w:numId w:val="2"/>
        </w:numPr>
        <w:spacing w:after="100" w:line="280"/>
      </w:pPr>
      <w:r>
        <w:t xml:space="preserve">Onboard a small cohort of real SME traders for live testing</w:t>
      </w:r>
    </w:p>
    <w:p>
      <w:pPr>
        <w:pStyle w:val="ListParagraph"/>
        <w:numPr>
          <w:ilvl w:val="0"/>
          <w:numId w:val="2"/>
        </w:numPr>
        <w:spacing w:after="100" w:line="280"/>
      </w:pPr>
      <w:r>
        <w:t xml:space="preserve">Invoice-linked payments and visible trust history live for pilot users</w:t>
      </w:r>
    </w:p>
    <w:p>
      <w:pPr>
        <w:pStyle w:val="Heading2"/>
        <w:spacing w:after="120" w:before="240"/>
      </w:pPr>
      <w:r>
        <w:rPr>
          <w:b/>
          <w:bCs/>
          <w:color w:val="0B1220"/>
        </w:rPr>
        <w:t xml:space="preserve">Phase 3 — Scale</w:t>
      </w:r>
    </w:p>
    <w:p>
      <w:pPr>
        <w:pStyle w:val="ListParagraph"/>
        <w:numPr>
          <w:ilvl w:val="0"/>
          <w:numId w:val="2"/>
        </w:numPr>
        <w:spacing w:after="100" w:line="280"/>
      </w:pPr>
      <w:r>
        <w:t xml:space="preserve">Expand to Uganda and Tanzania corridors</w:t>
      </w:r>
    </w:p>
    <w:p>
      <w:pPr>
        <w:pStyle w:val="ListParagraph"/>
        <w:numPr>
          <w:ilvl w:val="0"/>
          <w:numId w:val="2"/>
        </w:numPr>
        <w:spacing w:after="100" w:line="280"/>
      </w:pPr>
      <w:r>
        <w:t xml:space="preserve">Full ISO 20022 compliance across all connected providers</w:t>
      </w:r>
    </w:p>
    <w:p>
      <w:pPr>
        <w:pStyle w:val="ListParagraph"/>
        <w:numPr>
          <w:ilvl w:val="0"/>
          <w:numId w:val="2"/>
        </w:numPr>
        <w:spacing w:after="100" w:line="280"/>
      </w:pPr>
      <w:r>
        <w:t xml:space="preserve">Pursue BNR fintech sandbox license and formal regulatory pathway</w:t>
      </w:r>
    </w:p>
    <w:p>
      <w:pPr>
        <w:pStyle w:val="Heading1"/>
        <w:spacing w:after="160" w:before="360"/>
      </w:pPr>
      <w:r>
        <w:rPr>
          <w:b/>
          <w:bCs/>
          <w:color w:val="0F766E"/>
        </w:rPr>
        <w:t xml:space="preserve">8. What VUKA Is Asking For</w:t>
      </w:r>
    </w:p>
    <w:p>
      <w:pPr>
        <w:pStyle w:val="ListParagraph"/>
        <w:numPr>
          <w:ilvl w:val="0"/>
          <w:numId w:val="2"/>
        </w:numPr>
        <w:spacing w:after="100" w:line="280"/>
      </w:pPr>
      <w:r>
        <w:t xml:space="preserve">Guidance and support navigating the BNR fintech sandbox application process</w:t>
      </w:r>
    </w:p>
    <w:p>
      <w:pPr>
        <w:pStyle w:val="ListParagraph"/>
        <w:numPr>
          <w:ilvl w:val="0"/>
          <w:numId w:val="2"/>
        </w:numPr>
        <w:spacing w:after="100" w:line="280"/>
      </w:pPr>
      <w:r>
        <w:t xml:space="preserve">Introductions to telecom or aggregator partners for real pilot-corridor integration</w:t>
      </w:r>
    </w:p>
    <w:p>
      <w:pPr>
        <w:pStyle w:val="ListParagraph"/>
        <w:numPr>
          <w:ilvl w:val="0"/>
          <w:numId w:val="2"/>
        </w:numPr>
        <w:spacing w:after="100" w:line="280"/>
      </w:pPr>
      <w:r>
        <w:t xml:space="preserve">Feedback from BNR on the regulatory path for a business-focused, invoice-linked payment product operating on mobile money rails</w:t>
      </w:r>
    </w:p>
    <w:p>
      <w:pPr>
        <w:pBdr>
          <w:bottom w:val="single" w:color="CCCCCC" w:sz="6" w:space="1"/>
        </w:pBdr>
        <w:spacing w:after="200" w:before="200"/>
      </w:pPr>
      <w:r>
        <w:t xml:space="preserve"/>
      </w:r>
    </w:p>
    <w:p>
      <w:pPr>
        <w:spacing w:before="200"/>
      </w:pPr>
      <w:r>
        <w:rPr>
          <w:i/>
          <w:iCs/>
          <w:color w:val="555555"/>
          <w:sz w:val="20"/>
          <w:szCs w:val="20"/>
        </w:rPr>
        <w:t xml:space="preserve">Built for Rwanda. Designed for Africa's traders.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2026-07-27T23:26:23.981Z</dcterms:created>
  <dcterms:modified xsi:type="dcterms:W3CDTF">2026-07-27T23:26:23.995Z</dcterms:modified>
</cp:coreProperties>
</file>

<file path=docProps/custom.xml><?xml version="1.0" encoding="utf-8"?>
<Properties xmlns="http://schemas.openxmlformats.org/officeDocument/2006/custom-properties" xmlns:vt="http://schemas.openxmlformats.org/officeDocument/2006/docPropsVTypes"/>
</file>