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INFORME TÉCNICO DE EVALUACIÓN FINAL TRANSVERSAL</w:t>
      </w:r>
    </w:p>
    <w:p>
      <w:pPr>
        <w:jc w:val="center"/>
      </w:pPr>
      <w:r>
        <w:rPr>
          <w:rFonts w:ascii="Calibri" w:hAnsi="Calibri"/>
          <w:i/>
          <w:color w:val="0E7490"/>
          <w:sz w:val="26"/>
        </w:rPr>
        <w:t>Asignatura: ISY1101 - Introducción a Herramientas DevOps (Duoc UC 2025)</w:t>
      </w:r>
    </w:p>
    <w:p/>
    <w:p>
      <w:pPr>
        <w:pStyle w:val="Heading1"/>
      </w:pPr>
      <w:r>
        <w:t>Asignatura: ISY1101 - Introducción a Herramientas DevOps (Duoc UC 2025)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Integrantes del Proyecto:</w:t>
      </w:r>
      <w:r>
        <w:rPr>
          <w:rFonts w:ascii="Calibri" w:hAnsi="Calibri"/>
          <w:sz w:val="22"/>
        </w:rPr>
        <w:t xml:space="preserve"> [Nombre de los Estudiantes]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Docente:</w:t>
      </w:r>
      <w:r>
        <w:rPr>
          <w:rFonts w:ascii="Calibri" w:hAnsi="Calibri"/>
          <w:sz w:val="22"/>
        </w:rPr>
        <w:t xml:space="preserve"> [Nombre del Docente]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Fecha de Entrega:</w:t>
      </w:r>
      <w:r>
        <w:rPr>
          <w:rFonts w:ascii="Calibri" w:hAnsi="Calibri"/>
          <w:sz w:val="22"/>
        </w:rPr>
        <w:t xml:space="preserve"> Semana 18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Institución:</w:t>
      </w:r>
      <w:r>
        <w:rPr>
          <w:rFonts w:ascii="Calibri" w:hAnsi="Calibri"/>
          <w:sz w:val="22"/>
        </w:rPr>
        <w:t xml:space="preserve"> Duoc UC - Escuela de Informática y Telecomunicaciones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Cuenta AWS ID:</w:t>
      </w:r>
      <w:r>
        <w:rPr>
          <w:rFonts w:ascii="Calibri" w:hAnsi="Calibri"/>
          <w:sz w:val="22"/>
        </w:rPr>
        <w:t xml:space="preserve"> `571617431105` (`ign.salazarf@duocuc.cl`)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1. Método de Integración del Sistema</w:t>
      </w:r>
    </w:p>
    <w:p>
      <w:r>
        <w:rPr>
          <w:rFonts w:ascii="Calibri" w:hAnsi="Calibri"/>
          <w:sz w:val="22"/>
        </w:rPr>
        <w:t xml:space="preserve">El sistema implementa una </w:t>
      </w:r>
      <w:r>
        <w:rPr>
          <w:rFonts w:ascii="Calibri" w:hAnsi="Calibri"/>
          <w:b/>
          <w:sz w:val="22"/>
        </w:rPr>
        <w:t>arquitectura distribuida multicapa</w:t>
      </w:r>
      <w:r>
        <w:rPr>
          <w:rFonts w:ascii="Calibri" w:hAnsi="Calibri"/>
          <w:sz w:val="22"/>
        </w:rPr>
        <w:t xml:space="preserve"> para asegurar alta disponibilidad, desacoplamiento y escalabilidad horizontal: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Frontend Web:</w:t>
      </w:r>
      <w:r>
        <w:rPr>
          <w:rFonts w:ascii="Calibri" w:hAnsi="Calibri"/>
          <w:sz w:val="22"/>
        </w:rPr>
        <w:t xml:space="preserve"> Desarrollado como una Single Page Application (SPA) con arquitectura responsiva y liviana. Servido por </w:t>
      </w:r>
      <w:r>
        <w:rPr>
          <w:rFonts w:ascii="Calibri" w:hAnsi="Calibri"/>
          <w:b/>
          <w:sz w:val="22"/>
        </w:rPr>
        <w:t>Nginx 1.25 Alpine</w:t>
      </w:r>
      <w:r>
        <w:rPr>
          <w:rFonts w:ascii="Calibri" w:hAnsi="Calibri"/>
          <w:sz w:val="22"/>
        </w:rPr>
        <w:t xml:space="preserve">, que actúa además como </w:t>
      </w:r>
      <w:r>
        <w:rPr>
          <w:rFonts w:ascii="Calibri" w:hAnsi="Calibri"/>
          <w:b/>
          <w:sz w:val="22"/>
        </w:rPr>
        <w:t>Reverse Proxy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Backend REST API:</w:t>
      </w:r>
      <w:r>
        <w:rPr>
          <w:rFonts w:ascii="Calibri" w:hAnsi="Calibri"/>
          <w:sz w:val="22"/>
        </w:rPr>
        <w:t xml:space="preserve"> Microservicio en </w:t>
      </w:r>
      <w:r>
        <w:rPr>
          <w:rFonts w:ascii="Calibri" w:hAnsi="Calibri"/>
          <w:b/>
          <w:sz w:val="22"/>
        </w:rPr>
        <w:t>Node.js (v20) y Express</w:t>
      </w:r>
      <w:r>
        <w:rPr>
          <w:rFonts w:ascii="Calibri" w:hAnsi="Calibri"/>
          <w:sz w:val="22"/>
        </w:rPr>
        <w:t>. Proporciona endpoints de salud (`/api/health`), observabilidad (`/api/metrics`) y lógica de negocio (`/api/tasks`).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Base de Datos Relacional:</w:t>
      </w:r>
      <w:r>
        <w:rPr>
          <w:rFonts w:ascii="Calibri" w:hAnsi="Calibri"/>
          <w:sz w:val="22"/>
        </w:rPr>
        <w:t xml:space="preserve"> Motor </w:t>
      </w:r>
      <w:r>
        <w:rPr>
          <w:rFonts w:ascii="Calibri" w:hAnsi="Calibri"/>
          <w:b/>
          <w:sz w:val="22"/>
        </w:rPr>
        <w:t>PostgreSQL 16 Alpine</w:t>
      </w:r>
      <w:r>
        <w:rPr>
          <w:rFonts w:ascii="Calibri" w:hAnsi="Calibri"/>
          <w:sz w:val="22"/>
        </w:rPr>
        <w:t>, configurado con volúmenes persistentes (`PersistentVolumeClaim` de 5Gi) y scripts de inicialización automatizados (`init.sql`).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Comunicación Interna:</w:t>
      </w:r>
      <w:r>
        <w:rPr>
          <w:rFonts w:ascii="Calibri" w:hAnsi="Calibri"/>
          <w:sz w:val="22"/>
        </w:rPr>
        <w:t xml:space="preserve"> El Frontend no expone puertos internos del backend al cliente; todas las solicitudes hacia `/api/*` son capturadas por Nginx y canalizadas internamente a través del Service ClusterIP hacia `backend:5000`.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2. Contenerización y Orquestación Local</w:t>
      </w:r>
    </w:p>
    <w:p>
      <w:r>
        <w:rPr>
          <w:rFonts w:ascii="Calibri" w:hAnsi="Calibri"/>
          <w:sz w:val="22"/>
        </w:rPr>
        <w:t>Para garantizar el principio *Write Once, Run Anywhere*, se aplicaron las mejores prácticas de contenerización: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Dockerfile Multietapa (Multi-Stage Builds):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*Backend:* Etapa 1 instala dependencias y ejecuta la suite de pruebas unitarias (`npm test`). Etapa 2 descarga únicamente dependencias de producción en `node:20-alpine`, reduciendo el tamaño a menos de 90 MB.</w:t>
      </w:r>
    </w:p>
    <w:p>
      <w:pPr>
        <w:pStyle w:val="ListBullet"/>
      </w:pPr>
      <w:r>
        <w:rPr>
          <w:rFonts w:ascii="Calibri" w:hAnsi="Calibri"/>
          <w:sz w:val="22"/>
        </w:rPr>
        <w:t>*Frontend:* Compila el código estático y lo sirve en `nginx:1.25-alpine`.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Hardening de Contenedores: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Uso de Alpine Linux para minimizar la superficie de ataque.</w:t>
      </w:r>
    </w:p>
    <w:p>
      <w:pPr>
        <w:pStyle w:val="ListBullet"/>
      </w:pPr>
      <w:r>
        <w:rPr>
          <w:rFonts w:ascii="Calibri" w:hAnsi="Calibri"/>
          <w:sz w:val="22"/>
        </w:rPr>
        <w:t>Ejecución con usuario sin privilegios (`USER node`).</w:t>
      </w:r>
    </w:p>
    <w:p>
      <w:pPr>
        <w:pStyle w:val="ListBullet"/>
      </w:pPr>
      <w:r>
        <w:rPr>
          <w:rFonts w:ascii="Calibri" w:hAnsi="Calibri"/>
          <w:sz w:val="22"/>
        </w:rPr>
        <w:t>Inclusión de `.dockerignore` para prevenir fugas de secretos o archivos locales.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Orquestación Local (Docker Compose):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Definición de red aislada `devops-net` y volumen `postgres_data`.</w:t>
      </w:r>
    </w:p>
    <w:p>
      <w:pPr>
        <w:pStyle w:val="ListBullet"/>
      </w:pPr>
      <w:r>
        <w:rPr>
          <w:rFonts w:ascii="Calibri" w:hAnsi="Calibri"/>
          <w:sz w:val="22"/>
        </w:rPr>
        <w:t>Verificación de salud condicional (`healthcheck` vía `pg_isready`).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3. Registro de Imágenes y Trazabilidad (Amazon ECR / Docker Hub)</w:t>
      </w:r>
    </w:p>
    <w:p>
      <w:r>
        <w:rPr>
          <w:rFonts w:ascii="Calibri" w:hAnsi="Calibri"/>
          <w:sz w:val="22"/>
        </w:rPr>
        <w:t>El proceso de empaquetado publica los artefactos en registros centralizados (Amazon ECR `571617431105.dkr.ecr.us-east-1.amazonaws.com` / Docker Hub) aplicando etiquetado dual: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Tag de producción (`latest`):</w:t>
      </w:r>
      <w:r>
        <w:rPr>
          <w:rFonts w:ascii="Calibri" w:hAnsi="Calibri"/>
          <w:sz w:val="22"/>
        </w:rPr>
        <w:t xml:space="preserve"> Versión estable actual.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Tag de trazabilidad (`v&lt;github.run_number&gt;`):</w:t>
      </w:r>
      <w:r>
        <w:rPr>
          <w:rFonts w:ascii="Calibri" w:hAnsi="Calibri"/>
          <w:sz w:val="22"/>
        </w:rPr>
        <w:t xml:space="preserve"> Asocia cada imagen al número de ejecución único del pipeline de CI/CD para permitir rollback inmediato.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4. Pipeline de CI/CD (GitHub Actions)</w:t>
      </w:r>
    </w:p>
    <w:p>
      <w:r>
        <w:rPr>
          <w:rFonts w:ascii="Calibri" w:hAnsi="Calibri"/>
          <w:sz w:val="22"/>
        </w:rPr>
        <w:t>La automatización está definida en `.github/workflows/ci-cd.yml` en 3 etapas secuenciales: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Pruebas Unitarias &amp; Calidad (Test):</w:t>
      </w:r>
      <w:r>
        <w:rPr>
          <w:rFonts w:ascii="Calibri" w:hAnsi="Calibri"/>
          <w:sz w:val="22"/>
        </w:rPr>
        <w:t xml:space="preserve"> Ejecuta Jest con Supertest (4/4 pruebas aprobadas). Si falla, detiene el pipeline.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Construcción &amp; Publicación (Build &amp; Push):</w:t>
      </w:r>
      <w:r>
        <w:rPr>
          <w:rFonts w:ascii="Calibri" w:hAnsi="Calibri"/>
          <w:sz w:val="22"/>
        </w:rPr>
        <w:t xml:space="preserve"> Autenticación mediante Docker Buildx y push de imágenes con tags duales.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Despliegue Automatizado en EKS (Deploy):</w:t>
      </w:r>
      <w:r>
        <w:rPr>
          <w:rFonts w:ascii="Calibri" w:hAnsi="Calibri"/>
          <w:sz w:val="22"/>
        </w:rPr>
        <w:t xml:space="preserve"> Configura credenciales AWS IAM, ejecuta `aws eks update-kubeconfig` y actualiza los deployments en Amazon EKS mediante `kubectl set image` con verificación `rollout status`.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5. Infraestructura Cloud en AWS (VPC, Subredes, Security Groups y EKS)</w:t>
      </w:r>
    </w:p>
    <w:p>
      <w:r>
        <w:rPr>
          <w:rFonts w:ascii="Calibri" w:hAnsi="Calibri"/>
          <w:sz w:val="22"/>
        </w:rPr>
        <w:t>La infraestructura en AWS fue aprovisionada siguiendo el *AWS Well-Architected Framework*: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VPC (Virtual Private Cloud):</w:t>
      </w:r>
      <w:r>
        <w:rPr>
          <w:rFonts w:ascii="Calibri" w:hAnsi="Calibri"/>
          <w:sz w:val="22"/>
        </w:rPr>
        <w:t xml:space="preserve"> Red aislada `10.0.0.0/16` (`devops-eks-vpc`) con DNS hostnames habilitados.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Subredes Multi-AZ (4 Subnets):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2 Subredes Públicas (`10.0.1.0/24` us-east-1a, `10.0.2.0/24` us-east-1b) asociadas a Internet Gateway (`devops-igw`) y etiquetadas con `kubernetes.io/role/elb = 1`.</w:t>
      </w:r>
    </w:p>
    <w:p>
      <w:pPr>
        <w:pStyle w:val="ListBullet"/>
      </w:pPr>
      <w:r>
        <w:rPr>
          <w:rFonts w:ascii="Calibri" w:hAnsi="Calibri"/>
          <w:sz w:val="22"/>
        </w:rPr>
        <w:t>2 Subredes Privadas (`10.0.10.0/24` us-east-1a, `10.0.20.0/24` us-east-1b) asociadas a NAT Gateway (`devops-nat-gw`) para salida segura a internet.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Grupos de Seguridad (Security Groups):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`devops-eks-cluster-sg`: Permite puerto 443 HTTPS desde los trabajadores al Control Plane.</w:t>
      </w:r>
    </w:p>
    <w:p>
      <w:pPr>
        <w:pStyle w:val="ListBullet"/>
      </w:pPr>
      <w:r>
        <w:rPr>
          <w:rFonts w:ascii="Calibri" w:hAnsi="Calibri"/>
          <w:sz w:val="22"/>
        </w:rPr>
        <w:t>`devops-eks-workers-sg`: Permite puerto 80 (HTTP pública), 443 (HTTPS), 5000 (API interna), 5432 (PostgreSQL interna VPC), 1025-65535 (Kubelet) y 22 (SSH).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Orquestación Cloud en Amazon EKS (`devops-eks-cluster`):</w:t>
      </w:r>
      <w:r>
        <w:rPr>
          <w:rFonts w:ascii="Calibri" w:hAnsi="Calibri"/>
          <w:sz w:val="22"/>
        </w:rPr>
      </w:r>
    </w:p>
    <w:p>
      <w:pPr>
        <w:pStyle w:val="ListBullet"/>
      </w:pPr>
      <w:r>
        <w:rPr>
          <w:rFonts w:ascii="Calibri" w:hAnsi="Calibri"/>
          <w:sz w:val="22"/>
        </w:rPr>
        <w:t>Node Group de 2 instancias EC2 `t3.medium` con Auto Scaling.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Segmentación de Red Kubernetes (`NetworkPolicies`):</w:t>
      </w:r>
      <w:r>
        <w:rPr>
          <w:rFonts w:ascii="Calibri" w:hAnsi="Calibri"/>
          <w:sz w:val="22"/>
        </w:rPr>
        <w:t xml:space="preserve"> Reglas de mínimo privilegio a nivel de pods (DB solo acepta tráfico del Backend en 5432; Backend solo del Frontend en 5000).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Escalabilidad Horizontal (`HorizontalPodAutoscaler` - HPA):</w:t>
      </w:r>
      <w:r>
        <w:rPr>
          <w:rFonts w:ascii="Calibri" w:hAnsi="Calibri"/>
          <w:sz w:val="22"/>
        </w:rPr>
        <w:t xml:space="preserve"> Auto-escalado automático del Backend (2 a 5 pods al 70% CPU) y Frontend (2 a 4 pods al 75% CPU).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6. Configuración, Secretos y Seguridad (Mínimo Privilegio)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Gestión de Secretos:</w:t>
      </w:r>
      <w:r>
        <w:rPr>
          <w:rFonts w:ascii="Calibri" w:hAnsi="Calibri"/>
          <w:sz w:val="22"/>
        </w:rPr>
        <w:t xml:space="preserve"> Uso de Kubernetes Secrets (`db-credentials`) inyectados dinámicamente como variables de entorno (`POSTGRES_USER`, `POSTGRES_PASSWORD`).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Seguridad en CI/CD:</w:t>
      </w:r>
      <w:r>
        <w:rPr>
          <w:rFonts w:ascii="Calibri" w:hAnsi="Calibri"/>
          <w:sz w:val="22"/>
        </w:rPr>
        <w:t xml:space="preserve"> Autenticación con roles IAM de mínimo privilegio y secretos cifrados en GitHub Secrets (`AWS_ACCESS_KEY_ID`, `AWS_SECRET_ACCESS_KEY`, `AWS_SESSION_TOKEN`).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7. Observabilidad y Monitoreo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Metrics Endpoint (`/api/metrics`):</w:t>
      </w:r>
      <w:r>
        <w:rPr>
          <w:rFonts w:ascii="Calibri" w:hAnsi="Calibri"/>
          <w:sz w:val="22"/>
        </w:rPr>
        <w:t xml:space="preserve"> Expone Uptime en segundos, memoria RSS, heapUsed y consumo CPU.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Health Check (`/api/health`):</w:t>
      </w:r>
      <w:r>
        <w:rPr>
          <w:rFonts w:ascii="Calibri" w:hAnsi="Calibri"/>
          <w:sz w:val="22"/>
        </w:rPr>
        <w:t xml:space="preserve"> Valida la conectividad a la base de datos PostgreSQL mediante `SELECT NOW()`.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Logs Centralizados:</w:t>
      </w:r>
      <w:r>
        <w:rPr>
          <w:rFonts w:ascii="Calibri" w:hAnsi="Calibri"/>
          <w:sz w:val="22"/>
        </w:rPr>
        <w:t xml:space="preserve"> Trazabilidad en tiempo real con `kubectl logs` y seguimiento de despliegues.</w:t>
      </w:r>
    </w:p>
    <w:p>
      <w:pPr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</w:pPr>
      <w:r>
        <w:t>8. Conclusiones y Defensa Técnica</w:t>
      </w:r>
    </w:p>
    <w:p>
      <w:r>
        <w:rPr>
          <w:rFonts w:ascii="Calibri" w:hAnsi="Calibri"/>
          <w:sz w:val="22"/>
        </w:rPr>
        <w:t>La solución desplegada en AWS cumple rigurosamente con los 6 indicadores de evaluación (IE1-IE6): automatización CI/CD de extremo a extremo, contenedores optimizados e inmunes, infraestructura de red aislada Multi-AZ, clúster Amazon EKS con auto-escalado horizontal y observabilidad pública en vivo.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