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60E5" w14:textId="2DBB4A80" w:rsidR="000E7438" w:rsidRPr="0036787B" w:rsidRDefault="000E7438" w:rsidP="0036787B">
      <w:pPr>
        <w:spacing w:line="480" w:lineRule="auto"/>
        <w:jc w:val="center"/>
        <w:rPr>
          <w:rFonts w:ascii="Times New Roman" w:hAnsi="Times New Roman" w:cs="Times New Roman"/>
          <w:b/>
          <w:bCs/>
          <w:sz w:val="28"/>
          <w:szCs w:val="28"/>
        </w:rPr>
      </w:pPr>
      <w:r w:rsidRPr="0036787B">
        <w:rPr>
          <w:rFonts w:ascii="Times New Roman" w:hAnsi="Times New Roman" w:cs="Times New Roman"/>
          <w:b/>
          <w:bCs/>
          <w:sz w:val="28"/>
          <w:szCs w:val="28"/>
        </w:rPr>
        <w:t>Experience with access regime policies influences compliance and enforcement behaviors of common-pool resource users</w:t>
      </w:r>
    </w:p>
    <w:p w14:paraId="6DA370B2" w14:textId="77777777" w:rsidR="0036787B" w:rsidRDefault="0036787B" w:rsidP="000E7438">
      <w:pPr>
        <w:spacing w:line="480" w:lineRule="auto"/>
        <w:rPr>
          <w:rFonts w:ascii="Times New Roman" w:hAnsi="Times New Roman" w:cs="Times New Roman"/>
          <w:b/>
          <w:bCs/>
          <w:sz w:val="24"/>
          <w:szCs w:val="24"/>
        </w:rPr>
      </w:pPr>
    </w:p>
    <w:p w14:paraId="1B0A0760" w14:textId="175687C6"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Abstract</w:t>
      </w:r>
    </w:p>
    <w:p w14:paraId="6AC9AA1D"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Governance regimes which assign exclusive access to support collective action are increasingly promoted to manage common-pool resources under the premise they foster environmental stewardship. However, experimental evidence linked to existing policies, which explore this premise is lacking. Overlapping access policies in small-scale fisheries provide a unique opportunity to test the effects of access regimes over users' stewardship behaviors. We performed a lab-in-the-field experiment to assess how fishers’ previous experience with access regimes relate to compliance and peer-enforcement (n = 120). Fishers’ compliance and peer-enforcement decisions were compared in a common-pool-resource game. Treatments differed in framing to represent exclusive access and pseudo-open access regimes, both of which fishers face in real life. The highest levels of compliance and peer-enforcement were observed under the exclusive access treatment but only for fishers who have previous successful experiences with exclusive access policies. Results support previous research on ocean governance by experimentally assessing the role of access regimes over users’ stewardship behaviors.</w:t>
      </w:r>
    </w:p>
    <w:p w14:paraId="149813D3" w14:textId="228766F8"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Introduction</w:t>
      </w:r>
    </w:p>
    <w:p w14:paraId="293D39F4" w14:textId="76C3EA4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Environmental stewardship is a promising pathway towards the sustainable use and conservation of natural common-pool resources (CPRs) </w:t>
      </w:r>
      <w:r w:rsidR="00CC41F2">
        <w:rPr>
          <w:rFonts w:ascii="Times New Roman" w:hAnsi="Times New Roman" w:cs="Times New Roman"/>
          <w:sz w:val="24"/>
          <w:szCs w:val="24"/>
        </w:rPr>
        <w:fldChar w:fldCharType="begin"/>
      </w:r>
      <w:r w:rsidR="00CC41F2">
        <w:rPr>
          <w:rFonts w:ascii="Times New Roman" w:hAnsi="Times New Roman" w:cs="Times New Roman"/>
          <w:sz w:val="24"/>
          <w:szCs w:val="24"/>
        </w:rPr>
        <w:instrText xml:space="preserve"> ADDIN ZOTERO_ITEM CSL_CITATION {"citationID":"qF1NOoqJ","properties":{"formattedCitation":"(Bennett et al. 2018)","plainCitation":"(Bennett et al. 2018)","noteIndex":0},"citationItems":[{"id":74,"uris":["http://zotero.org/users/3065856/items/JYNE79IH"],"uri":["http://zotero.org/users/3065856/items/JYNE79IH"],"itemData":{"id":74,"type":"article-journal","abstract":"There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CC41F2">
        <w:rPr>
          <w:rFonts w:ascii="Times New Roman" w:hAnsi="Times New Roman" w:cs="Times New Roman"/>
          <w:sz w:val="24"/>
          <w:szCs w:val="24"/>
        </w:rPr>
        <w:fldChar w:fldCharType="separate"/>
      </w:r>
      <w:r w:rsidR="00CC41F2" w:rsidRPr="00CC41F2">
        <w:rPr>
          <w:rFonts w:ascii="Times New Roman" w:hAnsi="Times New Roman" w:cs="Times New Roman"/>
          <w:sz w:val="24"/>
        </w:rPr>
        <w:t>(Bennett et al. 2018)</w:t>
      </w:r>
      <w:r w:rsidR="00CC41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Local environmental stewardship can trigger the protection and responsible harvest of natural resources averting “the tragedy of the commons”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{"citationID":"pfUrWGFV","properties":{"formattedCitation":"(Ostrom 1990; Bennett et al. 2018)","plainCitation":"(Ostrom 1990; Bennett et al. 2018)","noteIndex":0},"citationItems":[{"id":353,"uris":["http://zotero.org/users/3065856/items/FT2WAZCE"],"uri":["http://zotero.org/users/3065856/items/FT2WAZCE"],"itemData":{"id":353,"type":"book","event-place":"Cambridge,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1990; Bennett et al. 2018)</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Compliance with appropriation </w:t>
      </w:r>
      <w:r w:rsidRPr="000E7438">
        <w:rPr>
          <w:rFonts w:ascii="Times New Roman" w:hAnsi="Times New Roman" w:cs="Times New Roman"/>
          <w:sz w:val="24"/>
          <w:szCs w:val="24"/>
        </w:rPr>
        <w:lastRenderedPageBreak/>
        <w:t xml:space="preserve">rules and peer-enforcement are stewardship behaviors strongly linked to successful conservation and management outcomes across ecosystems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{"citationID":"NZRlEaaj","properties":{"formattedCitation":"(Ostrom 1990; Rustagi et al. 2010; Bergseth et al. 2015; Wright et al. 2016)","plainCitation":"(Ostrom 1990; Rustagi et al. 2010; Bergseth et al. 2015;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698,"uris":["http://zotero.org/users/3065856/items/ZVIIUBRB"],"uri":["http://zotero.org/users/3065856/items/ZVIIUBRB"],"itemData":{"id":698,"type":"article-journal","container-title":"Fish and fisheries","issue":"2","page":"240-258","title":"Measuring and monitoring compliance in no‐take marine reserves","volume":"16","author":[{"family":"Bergseth","given":"B. J."},{"family":"Russ","given":"G. R."},{"family":"Cinner","given":"J. E."}],"issued":{"date-parts":[["2015"]]}}},{"id":697,"uris":["http://zotero.org/users/3065856/items/RDHRUE5Q"],"uri":["http://zotero.org/users/3065856/items/RDHRUE5Q"],"itemData":{"id":697,"type":"article-journal","container-title":"Proceedings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1990; Rustagi et al. 2010; Bergseth et al. 2015; Wright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Therefore, identifying policies that enhance users’ compliance and peer-enforcement is an important step to advance in the conservation of CPRs. An approach increasingly applied to foster compliance and peer-enforcement amongst CPRs users is the establishment of formal collective exclusive access regimes (CEARs)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{"citationID":"XigXq2Nr","properties":{"formattedCitation":"(Nguyen Thi Quynh et al. 2017)","plainCitation":"(Nguyen Thi Quynh et al. 2017)","noteIndex":0},"citationItems":[{"id":201,"uris":["http://zotero.org/users/3065856/items/MI43TB27"],"uri":["http://zotero.org/users/3065856/items/MI43TB27"],"itemData":{"id":201,"type":"article-journal","abstract":"Emerging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worldwide.","container-title":"Marine Policy","DOI":"10.1016/j.marpol.2016.10.004","ISSN":"0308-597X","issue":"Supplement C","journalAbbreviation":"Marine Policy","page":"41-52","source":"ScienceDirect","title":"Territorial Use Rights for Fisheries (TURFs): State of the art and the road ahead","title-short":"Territorial Use Rights for Fisheries (TURFs)","volume":"75","author":[{"family":"Nguyen Thi Quynh","given":"Chi"},{"family":"Schilizzi","given":"Steven"},{"family":"Hailu","given":"Atakelty"},{"family":"Iftekhar","given":"Sayed"}],"issued":{"date-parts":[["2017",1,1]]}}}],"schema":"https://github.com/citation-style-language/schema/raw/master/csl-citation.json"}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(Nguyen Thi Quynh et al. 2017)</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regimes grant legal rights to a group of users to exclusively access, use, and/or manage resource stocks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{"citationID":"ZSsxu1Nn","properties":{"formattedCitation":"(Schlager &amp; Ostrom 1992)","plainCitation":"(Schlager &amp; Ostrom 1992)","noteIndex":0},"citationItems":[{"id":464,"uris":["http://zotero.org/users/3065856/items/KMDJUSSZ"],"uri":["http://zotero.org/users/3065856/items/KMDJUSSZ"],"itemData":{"id":464,"type":"article-journal","abstract":"The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industry.","container-title":"Land Economics","DOI":"10.2307/3146375","ISSN":"0023-7639","issue":"3","page":"249-262","source":"JSTOR","title":"Property-Rights Regimes and Natural Resources: A Conceptual Analysis","title-short":"Property-Rights Regimes and Natural Resources","volume":"68","author":[{"family":"Schlager","given":"Edella"},{"family":"Ostrom","given":"Elinor"}],"issued":{"date-parts":[["1992"]]}}}],"schema":"https://github.com/citation-style-language/schema/raw/master/csl-citation.json"}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(Schlager &amp; Ostrom 1992)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theory, CEARs would incentivize environmental stewardship compared to open access (OA) by securing future benefits to those investing in a stock’s sustainability and involving them in decision-making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{"citationID":"DVDhlYO8","properties":{"formattedCitation":"(Jentoft et al. 1998; Wilen et al. 2012)","plainCitation":"(Jentoft et al. 1998; Wilen et al. 2012)","noteIndex":0},"citationItems":[{"id":137,"uris":["http://zotero.org/users/3065856/items/6XDZ6UFS"],"uri":["http://zotero.org/users/3065856/items/6XDZ6UFS"],"itemData":{"id":137,"type":"article-journal","abstract":"Co-management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C."}],"issued":{"date-parts":[["1998",7,1]]}}},{"id":312,"uris":["http://zotero.org/users/3065856/items/QJPCVHSM"],"uri":["http://zotero.org/users/3065856/items/QJPCVHSM"],"itemData":{"id":312,"type":"article-journal","container-title":"Review of Environmental Economics and Policy","DOI":"10.1093/reep/res012","ISSN":"1750-6816, 1750-6824","issue":"2","language":"en","page":"237-257","source":"CrossRef","title":"The Economics of Territorial Use Rights Fisheries, or TURFs","volume":"6","author":[{"family":"Wilen","given":"J. E."},{"family":"Cancino","given":"J."},{"family":"Uchida","given":"H."}],"issued":{"date-parts":[["2012",7,1]]}}}],"schema":"https://github.com/citation-style-language/schema/raw/master/csl-citation.json"}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(Jentoft et al. 1998; Wilen et al. 2012)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2CE5173D" w14:textId="1FC1BD1A"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Achieving sustainability by implementing CEARs rests, in part, on the assumption that formal access rights will promote users’ compliance and peer-enforcement. However, research shows mixed results about the relationship between access regimes policies and local environmental stewardship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{"citationID":"mqTz20gd","properties":{"formattedCitation":"(Gelcich et al. 2006, 2017; Gilmour et al. 2012; Schroeder &amp; Castillo 2013; Undargaa &amp; McCarthy 2016; McDonald et al. 2020)","plainCitation":"(Gelcich et al. 2006, 2017; Gilmour et al. 2012; Schroeder &amp; Castillo 2013; Undargaa &amp; McCarthy 2016; McDonald et al. 2020)","noteIndex":0},"citationItems":[{"id":261,"uris":["http://zotero.org/users/3065856/items/ZBWI2NXE"],"uri":["http://zotero.org/users/3065856/items/ZBWI2NXE"],"itemData":{"id":261,"type":"article-journal","container-title":"Ecosystems","DOI":"10.1007/s10021-005-0007-8","ISSN":"1432-9840, 1435-0629","issue":"6","language":"en","page":"951-966","source":"CrossRef","title":"Co-management Policy Can Reduce Resilience in Traditionally Managed Marine Ecosystems","volume":"9","author":[{"family":"Gelcich","given":"Stefan"},{"family":"Edwards-Jones","given":"Gareth"},{"family":"Kaiser","given":"Michel J."},{"family":"Castilla","given":"Juan C."}],"issued":{"date-parts":[["2006",9]]}}},{"id":182,"uris":["http://zotero.org/users/3065856/items/F6GSVKTT"],"uri":["http://zotero.org/users/3065856/items/F6GSVKTT"],"itemData":{"id":182,"type":"article-journal","abstract":"Territorial use rights in fisheries (TURFs) are becoming a widely promoted tool to enhance the sustainability of small-scale fisheries. In 1991, Chile established a national coastal TURF policy that gave legal authority to assign exclusive access rights to artisanal fisher organizations.\nIn 2014, there were several hundred TURFs decreed to fisher organizations in different biophysical and socioeconomic settings. To date, research assessing TURF implementation has generally been based on a few case studies and have had mixed results. Here, we present results from a survey of\n535 fishers from 55 different artisanal fisher organizations. The survey consisted of three open-ended questions that explore users' perceptions of the main problems, benefits, and improvements concerning assigned TURFs. We also sampled 55 presidents of artisanal fisher organizations to explore\nhow they perceived the accomplishments of TURFs. Main key problems, as perceived by fishers, include increased costs associated with surveillance and poaching, and the variability and sometimes lack of financial returns. Despite strong price drops in exported species, TURFs have provided incentives\nfor innovation and stewardship, and fishers are generally unwilling to relinquish them. In fact, fishers define TURF benefits in multiple dimensions, which include conservation/ ecological and territorial empowerment. Fisher presidents stress that although expectations of economic benefits\nhave not been fully realized, territorial empowerment is a critical benefit. Through the analysis of fishers' perceptions on solutions to TURFs' problems, we highlight the development of stocking activities, combining TURFs with marine reserves, food traceability, and what we call BIO+ seafood—\nproducts that have associated biodiversity benefits.","container-title":"Bulletin of Marine Science","DOI":"10.5343/bms.2015.1082","issue":"1","journalAbbreviation":"Bulletin of Marine Science","page":"53-67","source":"IngentaConnect","title":"Fishers' perceptions on the Chilean coastal TURF system after two decades: problems, benefits, and emerging needs","title-short":"Fishers' perceptions on the Chilean coastal TURF system after two decades","volume":"93","author":[{"family":"Gelcich","given":"S"},{"family":"Cinner","given":"J"},{"family":"Donlan","given":"CJ"},{"family":"Tapia-Lewin","given":"S"},{"family":"Godoy","given":"N"},{"family":"Castilla","given":"JC"}],"issued":{"date-parts":[["2017",1,1]]}}},{"id":622,"uris":["http://zotero.org/users/3065856/items/AVKNGFIX"],"uri":["http://zotero.org/users/3065856/items/AVKNGFIX"],"itemData":{"id":622,"type":"article-journal","abstract":"[ABSTRACT. There is increasing interest in privatizing natural resource systems to promote sustainability and conservation goals. Though economic theory suggests owners of private property rights have an incentive to act as resource stewards, few studies have tested this empirically. This paper asks whether private rights-owners were more conservative with respect to their management opinions than nonrights-owners in five Australian abalone (Haliotis spp.) fisheries. Multiple regression analyses were used to link opinions to demographic, economic, and attitudinal variables. In contrast to standard economic assumptions, nonrights-owners suggested more conservative catch limits than did rights-owners, confirming qualitative observations of behavior in management workshops. Differing views about the condition of the resource and differing levels of experience contributed to these results. The first of its kind, this study directly demonstrates that private rights do not necessarily promote the greatest level of stewardship. This has substantial implications for how natural resources are governed globally, but also warns against applying simplistic behavioral assumptions to complex social-ecological systems.]","container-title":"Ecology and Society","ISSN":"1708-3087","issue":"3","source":"JSTOR","title":"Using Private Rights to Manage Natural Resources: Is Stewardship Linked to Ownership?","title-short":"Using Private Rights to Manage Natural Resources","URL":"http://www.jstor.org/stable/26269059","volume":"17","author":[{"family":"Gilmour","given":"Patrick W."},{"family":"Day","given":"Robert W."},{"family":"Dwyer","given":"Peter D."}],"accessed":{"date-parts":[["2018",7,23]]},"issued":{"date-parts":[["2012"]]}}},{"id":695,"uris":["http://zotero.org/users/3065856/items/UCZ35TTJ"],"uri":["http://zotero.org/users/3065856/items/UCZ35TTJ"],"itemData":{"id":695,"type":"article-journal","container-title":"Environmental Management","issue":"4","page":"850-861","title":"Collective action in the management of a tropical dry forest ecosystem: Effects of Mexico’s property rights regime","volume":"51","author":[{"family":"Schroeder","given":"N. M."},{"family":"Castillo","given":"A."}],"issued":{"date-parts":[["2013"]]}}},{"id":88,"uris":["http://zotero.org/users/3065856/items/P7ZDAHMZ"],"uri":["http://zotero.org/users/3065856/items/P7ZDAHMZ"],"itemData":{"id":88,"type":"article-journal","abstract":"Summary\nA critique of property theory points to the limitations of policies that seek to specify property rights, to strengthen or to re-establish common property institutions. Drawing on property theory and its critique, this paper presents a detailed case study of two waves of reform that attempted to reorganize property relations in Mongolia. Despite their analytical sophistication, property theories face particular challenges when translated into policy prescriptions. Reforms need to build on a broader understanding of the practices and mechanisms involved in governing resources, thereby providing a means to improve resource management.","container-title":"World Development","DOI":"10.1016/j.worlddev.2015.08.012","ISSN":"0305-750X","journalAbbreviation":"World Development","page":"367-379","source":"ScienceDirect","title":"Beyond Property: Co-Management and Pastoral Resource Access in Mongolia","title-short":"Beyond Property","volume":"77","author":[{"family":"Undargaa","given":"Sandagsuren"},{"family":"McCarthy","given":"John F."}],"issued":{"date-parts":[["2016",1,1]]}}},{"id":696,"uris":["http://zotero.org/users/3065856/items/LMK8N6NB"],"uri":["http://zotero.org/users/3065856/items/LMK8N6NB"],"itemData":{"id":696,"type":"article-journal","container-title":"Conservation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(Gelcich et al. 2006, 2017; Gilmour et al. 2012; Schroeder &amp; Castillo 2013; Undargaa &amp; McCarthy 2016; McDonald et al. 2020)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Mixed results are likely the consequence of case studies encompassing a range of resource systems operating under different institutional and legal settings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{"citationID":"WXM7gOUq","properties":{"formattedCitation":"(van Putten et al. 2014; Gelcich et al. 2019)","plainCitation":"(van Putten et al. 2014; Gelcich et al. 2019)","noteIndex":0},"citationItems":[{"id":640,"uris":["http://zotero.org/users/3065856/items/TQERAGAT"],"uri":["http://zotero.org/users/3065856/items/TQERAGAT"],"itemData":{"id":640,"type":"article-journal","abstract":"[ABSTRACT.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id":693,"uris":["http://zotero.org/users/3065856/items/KD6RYKB4"],"uri":["http://zotero.org/users/3065856/items/KD6RYKB4"],"itemData":{"id":693,"type":"article-journal","container-title":"Conservation Letters","DOI":"10.1111/conl.12637","issue":"2","page":"e12637","title":"Comanagement of small‐scale fisheries and ecosystem services","volume":"12","author":[{"family":"Gelcich","given":"S."},{"family":"Martínez‐Harms","given":"M. J."},{"family":"Tapia‐Lewin","given":"S."},{"family":"Vasquez‐Lavin","given":"F."},{"family":"Ruano‐Chamorro","given":"C."}],"issued":{"date-parts":[["2019"]]}}}],"schema":"https://github.com/citation-style-language/schema/raw/master/csl-citation.json"}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(van Putten et al. 2014; Gelcich et al. 2019)</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the lack of counterfactuals</w:t>
      </w:r>
      <w:r w:rsidR="00016A26">
        <w:rPr>
          <w:rFonts w:ascii="Times New Roman" w:hAnsi="Times New Roman" w:cs="Times New Roman"/>
          <w:sz w:val="24"/>
          <w:szCs w:val="24"/>
        </w:rPr>
        <w:t xml:space="preserv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{"citationID":"RcgTV6zm","properties":{"formattedCitation":"(van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(van Putten et al. 2014)</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the reliance on self-reported behaviors prone to biases, especially when involving sensitive behaviors such as compliance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{"citationID":"BK8ac6K8","properties":{"formattedCitation":"(Gavin et al. 2010)","plainCitation":"(Gavin et al. 2010)","noteIndex":0},"citationItems":[{"id":692,"uris":["http://zotero.org/users/3065856/items/Q2ZISXXE"],"uri":["http://zotero.org/users/3065856/items/Q2ZISXXE"],"itemData":{"id":692,"type":"article-journal","container-title":"Conservation Biology","DOI":"10.1111/j.1523-1739.2009.01387.x","issue":"1","page":"89-100","title":"Measuring and monitoring illegal use of natural resources","volume":"24","author":[{"family":"Gavin","given":"M. C."},{"family":"Solomon","given":"J. N."},{"family":"Blank","given":"S. G."}],"issued":{"date-parts":[["2010"]]}}}],"schema":"https://github.com/citation-style-language/schema/raw/master/csl-citation.json"}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(Gavin et al. 2010)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Experimental economics provides a complementary approach to assess the determinants of human behaviors by controlling for confounding variables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{"citationID":"bAfLAGCV","properties":{"formattedCitation":"(Smith 1982; Ostrom 2006)","plainCitation":"(Smith 1982; Ostrom 2006)","noteIndex":0},"citationItems":[{"id":691,"uris":["http://zotero.org/users/3065856/items/6EMRU6UI"],"uri":["http://zotero.org/users/3065856/items/6EMRU6UI"],"itemData":{"id":691,"type":"article-journal","container-title":"The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 Ostrom 2006)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Moreover, by attaching financial consequences to decisions, economic experiments reduce the biases inherent to self-</w:t>
      </w:r>
      <w:r w:rsidRPr="000E7438">
        <w:rPr>
          <w:rFonts w:ascii="Times New Roman" w:hAnsi="Times New Roman" w:cs="Times New Roman"/>
          <w:sz w:val="24"/>
          <w:szCs w:val="24"/>
        </w:rPr>
        <w:lastRenderedPageBreak/>
        <w:t xml:space="preserve">reporting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{"citationID":"2jS8cCHU","properties":{"formattedCitation":"(Smith 1982)","plainCitation":"(Smith 1982)","noteIndex":0},"citationItems":[{"id":691,"uris":["http://zotero.org/users/3065856/items/6EMRU6UI"],"uri":["http://zotero.org/users/3065856/items/6EMRU6UI"],"itemData":{"id":691,"type":"article-journal","container-title":"The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CPR games recreate the collective action problem faced by natural resource users. Insights from lab-in-the-field experiments using CPR games have increased the robustness of findings from case studies and have helped uncover the role of different institutional arrangements in CPR use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{"citationID":"1ZUyoRhy","properties":{"formattedCitation":"(Ostrom 2006; Cardenas 2011)","plainCitation":"(Ostrom 2006; Cardenas 2011)","noteIndex":0},"citationItems":[{"id":313,"uris":["http://zotero.org/users/3065856/items/FZUU6F67"],"uri":["http://zotero.org/users/3065856/items/FZUU6F67"],"itemData":{"id":313,"type":"article-journal","container-title":"Journal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id":174,"uris":["http://zotero.org/users/3065856/items/KC7EIUUP"],"uri":["http://zotero.org/users/3065856/items/KC7EIUUP"],"itemData":{"id":174,"type":"article-journal","abstract":"Behavior in the local commons is usually embedded within a context of incentives, regulations and social norms for the group of resource users. Standard environmental economics has tended mostly to focus on the material incentives and regulations that transform the relative material costs and benefits of various/specific/certain actions. However, there exist behavioral aspects and social norms that affect how individuals value material and non-material incentives, and thus determine their decision to either cooperate or over-extract resources from a common-pool. This paper discusses the importance of social norms in shaping behavior in the commons through the lens of experiments—in particular, experiments conducted in the field with exactly those people who usually face these social dilemmas in their daily lives. Using a large sample of experimental sessions inclusive of around one thousand people, both villagers and students, I test some hypotheses about behavior in the commons, wherein regulations and social norms constrain people’s choices. The results suggest that people evaluate several components of intrinsic and material motivations in deciding whether or not to cooperate. While responding in the expected direction to an imperfectly monitored fine for over extraction, the valuation of the private net cost of violating the regulation is not a sufficient explanation for participants’ changes in behavior in the experiments. Even when violations have zero cost, people may react positively to an external regulator who issues a normative statement about a rule aimed at solving a particular social dilemma.","container-title":"Environmental and Resource Economics","DOI":"10.1007/s10640-010-9452-8","ISSN":"0924-6460, 1573-1502","issue":"3","journalAbbreviation":"Environ Resource Econ","language":"en","page":"451-485","source":"link.springer.com","title":"Social Norms and Behavior in the Local Commons as Seen Through the Lens of Field Experiments","volume":"48","author":[{"family":"Cardenas","given":"Juan Camilo"}],"issued":{"date-parts":[["2011",3,1]]}}}],"schema":"https://github.com/citation-style-language/schema/raw/master/csl-citation.json"}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2006; Cardenas 2011)</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Behaviors displayed by users in these experiments have also proven to relate to real-life observations supporting the external validity of this approach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{"citationID":"CDJD4aZl","properties":{"formattedCitation":"(Rustagi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(Rustagi et al. 2010; Carpenter &amp; Seki 2011; Gelcich et al. 2013; Basurto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Accordingly, lab-in-the-field experiments constitute an appealing methodology to unpack the relationship between access regimes and local environmental stewardship. </w:t>
      </w:r>
    </w:p>
    <w:p w14:paraId="6BB95194" w14:textId="388CE2E4"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Small-scale fisheries are CPRs for which compliance and peer-enforcement are particularly important given the difficulty to establish effective central management and 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{"citationID":"mQIGDKje","properties":{"formattedCitation":"(Costello et al. 2012; Donlan et al. 2020)","plainCitation":"(Costello et al. 2012; Donlan et al. 2020)","noteIndex":0},"citationItems":[{"id":690,"uris":["http://zotero.org/users/3065856/items/ZQC4UQKP"],"uri":["http://zotero.org/users/3065856/items/ZQC4UQKP"],"itemData":{"id":690,"type":"article-journal","container-title":"Science","DOI":"10.1126/science.1223389","issue":"6106","page":"517-520","title":"Status and solutions for the world’s unassessed fisheries","volume":"338","author":[{"family":"Costello","given":"C."},{"family":"Ovando","given":"D."},{"family":"Hilborn","given":"R."},{"family":"Gaines","given":"S. D."},{"family":"Deschenes","given":"O."},{"family":"Lester","given":"S. E."}],"issued":{"date-parts":[["2012"]]}}},{"id":684,"uris":["http://zotero.org/users/3065856/items/LQ7BFGUY"],"uri":["http://zotero.org/users/3065856/items/LQ7BFGUY"],"itemData":{"id":684,"type":"article-journal","container-title":"Scientific reports","issue":"1","page":"1-9","title":"Estimating illegal fishing from enforcement officers","volume":"10","author":[{"family":"Donlan","given":"C. J."},{"family":"Wilcox","given":"C."},{"family":"Luque","given":"G. M."},{"family":"Gelcich","given":"Stefan"}],"issued":{"date-parts":[["2020"]]}}}],"schema":"https://github.com/citation-style-language/schema/raw/master/csl-citation.json"}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(Costello et al. 2012; Donlan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Small-scale fisheries can be managed through different and overlapping access regimes, depending on the different target species, and therefore provide a unique opportunity to test the role of access policies over fishers’ behavior. In central Chile, fishers operate in at least two distinct fishery management access regimes. A CEAR which takes the form of Territorial User Rights for Fisheries (TURFs) granted to fishers’ associations to harvest benthic resources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{"citationID":"8esnpgdw","properties":{"formattedCitation":"(Gelcich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a pseudo-OA regime for demersal fish species. Here, we empirically assess how Chilean fishers’ experience with formal CEARs relates to compliance and peer-enforcement using a between-subjects lab-in-the-field experiment.  The experiment consisted of CPR games conducted under two treatments that involved the same monetary incentives but differed in framing. In the CEAR treatment, the game was framed as the harvest “loco” (</w:t>
      </w:r>
      <w:r w:rsidRPr="002E7D13">
        <w:rPr>
          <w:rFonts w:ascii="Times New Roman" w:hAnsi="Times New Roman" w:cs="Times New Roman"/>
          <w:i/>
          <w:iCs/>
          <w:sz w:val="24"/>
          <w:szCs w:val="24"/>
        </w:rPr>
        <w:t>Concholepas concholepas</w:t>
      </w:r>
      <w:r w:rsidRPr="000E7438">
        <w:rPr>
          <w:rFonts w:ascii="Times New Roman" w:hAnsi="Times New Roman" w:cs="Times New Roman"/>
          <w:sz w:val="24"/>
          <w:szCs w:val="24"/>
        </w:rPr>
        <w:t xml:space="preserve">) which is harvested within TURFs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{"citationID":"y9pnacRG","properties":{"formattedCitation":"(Gelcich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In the pseudo-OA treatment, the game was framed as the fishing of hake (</w:t>
      </w:r>
      <w:r w:rsidRPr="002E7D13">
        <w:rPr>
          <w:rFonts w:ascii="Times New Roman" w:hAnsi="Times New Roman" w:cs="Times New Roman"/>
          <w:i/>
          <w:iCs/>
          <w:sz w:val="24"/>
          <w:szCs w:val="24"/>
        </w:rPr>
        <w:t xml:space="preserve">Merluccius </w:t>
      </w:r>
      <w:r w:rsidRPr="002E7D13">
        <w:rPr>
          <w:rFonts w:ascii="Times New Roman" w:hAnsi="Times New Roman" w:cs="Times New Roman"/>
          <w:i/>
          <w:iCs/>
          <w:sz w:val="24"/>
          <w:szCs w:val="24"/>
        </w:rPr>
        <w:lastRenderedPageBreak/>
        <w:t>gayi</w:t>
      </w:r>
      <w:r w:rsidRPr="000E7438">
        <w:rPr>
          <w:rFonts w:ascii="Times New Roman" w:hAnsi="Times New Roman" w:cs="Times New Roman"/>
          <w:sz w:val="24"/>
          <w:szCs w:val="24"/>
        </w:rPr>
        <w:t xml:space="preserve">) which is fished in a quota scheme that operates as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 xml:space="preserve">-OA due to poor enforcement and unclear stock boundaries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{"citationID":"v6yDkbzq","properties":{"formattedCitation":"(Plotnek et al. 2016; Oyanedel et al. 2020)","plainCitation":"(Plotnek et al. 2016; Oyanedel et al. 2020)","noteIndex":0},"citationItems":[{"id":689,"uris":["http://zotero.org/users/3065856/items/GNMS4AQJ"],"uri":["http://zotero.org/users/3065856/items/GNMS4AQJ"],"itemData":{"id":689,"type":"article-journal","container-title":"Reviews in Fisheries Science &amp; Aquaculture","DOI":"10.1080/23308249.2016.1161003","issue":"3","page":"230-243","title":"From unsustainability to MSC certification: A case study of the artisanal Chilean South Pacific hake fishery","volume":"24","author":[{"family":"Plotnek","given":"E."},{"family":"Paredes","given":"F."},{"family":"Galvez","given":"M."},{"family":"Pérez-Ramírez","given":"M."}],"issued":{"date-parts":[["2016"]]}}},{"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(Plotnek et al. 2016; Oyanedel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We also considered two types of fishers’ associations depending on their real-life performance with CEAR – high-performance and low-performance.</w:t>
      </w:r>
    </w:p>
    <w:p w14:paraId="3F7B937A" w14:textId="3929B83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Assuming self-interested, rational behavior, the predicted outcomes for the game are no compliance and no peer-enforcement. However, deviations from self-interested, rational behavior are common in social dilemmas like CPRs due to subjects’ internalized expectations and motivations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{"citationID":"z6kyrRgV","properties":{"formattedCitation":"(C\\uc0\\u225{}rdenas &amp; Ostrom 2004; Rustagi et al. 2010; Ellingsen et al. 2012; Leibbrandt et al. 2013; Bouma &amp; Ansink 2013; Fehr &amp; Schurtenberger 2018)","plainCitation":"(Cárdenas &amp; Ostrom 2004; Rustagi et al. 2010; Ellingsen et al. 2012; Leibbrandt et al. 2013; Bouma &amp; Ansink 2013; Fehr &amp; Schurtenberger 2018)","noteIndex":0},"citationItems":[{"id":179,"uris":["http://zotero.org/users/3065856/items/7IGMS47S"],"uri":["http://zotero.org/users/3065856/items/7IGMS47S"],"itemData":{"id":179,"type":"article-journal","abstract":"Experimental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 Rustagi et al. 2010; Ellingsen et al. 2012; Leibbrandt et al. 2013; Bouma &amp; Ansink 2013; 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Based on the premise that exclusive access favors the internalization of environmental stewardship, we expect compliance and peer-enforcement to be higher under the CEAR treatment than under the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at least for high-performance associations. If our experiment is externally valid, we also expect high-performance associations to exhibit more compliance and peer-enforcement than low-performance associations under the CEAR treatment. We additionally explore the effects of peer-enforcement over compliance. </w:t>
      </w:r>
    </w:p>
    <w:p w14:paraId="02D57AC7" w14:textId="3FB08C49"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Methods</w:t>
      </w:r>
    </w:p>
    <w:p w14:paraId="52D3D465" w14:textId="488AEED3"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Implementation</w:t>
      </w:r>
    </w:p>
    <w:p w14:paraId="79C9C343" w14:textId="3A670C26"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Fishers were recruited from fishers’ associations that (i) targeted both loco and hake, (ii) were located less than 200 km apart to minimize geographical differences (</w:t>
      </w:r>
      <w:r w:rsidRPr="002E7D13">
        <w:rPr>
          <w:rFonts w:ascii="Times New Roman" w:hAnsi="Times New Roman" w:cs="Times New Roman"/>
          <w:b/>
          <w:bCs/>
          <w:sz w:val="24"/>
          <w:szCs w:val="24"/>
        </w:rPr>
        <w:t>Fig</w:t>
      </w:r>
      <w:r w:rsidR="002E7D13" w:rsidRPr="002E7D13">
        <w:rPr>
          <w:rFonts w:ascii="Times New Roman" w:hAnsi="Times New Roman" w:cs="Times New Roman"/>
          <w:b/>
          <w:bCs/>
          <w:sz w:val="24"/>
          <w:szCs w:val="24"/>
        </w:rPr>
        <w:t>.</w:t>
      </w:r>
      <w:r w:rsidRPr="002E7D13">
        <w:rPr>
          <w:rFonts w:ascii="Times New Roman" w:hAnsi="Times New Roman" w:cs="Times New Roman"/>
          <w:b/>
          <w:bCs/>
          <w:sz w:val="24"/>
          <w:szCs w:val="24"/>
        </w:rPr>
        <w:t xml:space="preserve"> S1</w:t>
      </w:r>
      <w:r w:rsidRPr="000E7438">
        <w:rPr>
          <w:rFonts w:ascii="Times New Roman" w:hAnsi="Times New Roman" w:cs="Times New Roman"/>
          <w:sz w:val="24"/>
          <w:szCs w:val="24"/>
        </w:rPr>
        <w:t xml:space="preserve">), and (iii) could be categorized ex-ante depending on their real-life performance with CEAR – high-performance and low-performance. A total of 120 fishers from two high-performance and three low-performance associations participated in our experiments. Associations were categorized as </w:t>
      </w:r>
      <w:r w:rsidRPr="000E7438">
        <w:rPr>
          <w:rFonts w:ascii="Times New Roman" w:hAnsi="Times New Roman" w:cs="Times New Roman"/>
          <w:sz w:val="24"/>
          <w:szCs w:val="24"/>
        </w:rPr>
        <w:lastRenderedPageBreak/>
        <w:t>having high or low performance with CEARs according to a TURF-performance index developed by</w:t>
      </w:r>
      <w:r w:rsidR="002E7D13">
        <w:rPr>
          <w:rFonts w:ascii="Times New Roman" w:hAnsi="Times New Roman" w:cs="Times New Roman"/>
          <w:sz w:val="24"/>
          <w:szCs w:val="24"/>
        </w:rPr>
        <w:t xml:space="preserv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{"citationID":"tMTNsZOq","properties":{"formattedCitation":"(Mar\\uc0\\u237{}n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 xml:space="preserve">Marín et al. </w:t>
      </w:r>
      <w:r w:rsidR="002E7D13">
        <w:rPr>
          <w:rFonts w:ascii="Times New Roman" w:hAnsi="Times New Roman" w:cs="Times New Roman"/>
          <w:sz w:val="24"/>
          <w:szCs w:val="24"/>
        </w:rPr>
        <w:t>(</w:t>
      </w:r>
      <w:r w:rsidR="002E7D13" w:rsidRPr="002E7D13">
        <w:rPr>
          <w:rFonts w:ascii="Times New Roman" w:hAnsi="Times New Roman" w:cs="Times New Roman"/>
          <w:sz w:val="24"/>
          <w:szCs w:val="24"/>
        </w:rPr>
        <w:t>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The index includes indicators of fishers’ pride in their TURF, compliance with TURF rules, trends of annual TURF catch allowed by authorities, and third-party assessments of TURF management (</w:t>
      </w:r>
      <w:r w:rsidRPr="002E7D13">
        <w:rPr>
          <w:rFonts w:ascii="Times New Roman" w:hAnsi="Times New Roman" w:cs="Times New Roman"/>
          <w:b/>
          <w:bCs/>
          <w:sz w:val="24"/>
          <w:szCs w:val="24"/>
        </w:rPr>
        <w:t>Table S1</w:t>
      </w:r>
      <w:r w:rsidRPr="000E7438">
        <w:rPr>
          <w:rFonts w:ascii="Times New Roman" w:hAnsi="Times New Roman" w:cs="Times New Roman"/>
          <w:sz w:val="24"/>
          <w:szCs w:val="24"/>
        </w:rPr>
        <w:t xml:space="preserve">). All these variables are related to collective action in TURF management. We conducted 12 sessions, two in each association (one with each frame) except for one high-performance association in which we conducted four sessions (two with each frame). </w:t>
      </w:r>
      <w:r w:rsidRPr="000E7438">
        <w:rPr>
          <w:rFonts w:ascii="Times New Roman" w:hAnsi="Times New Roman" w:cs="Times New Roman"/>
          <w:b/>
          <w:bCs/>
          <w:sz w:val="24"/>
          <w:szCs w:val="24"/>
        </w:rPr>
        <w:t>Table 1</w:t>
      </w:r>
      <w:r w:rsidRPr="000E7438">
        <w:rPr>
          <w:rFonts w:ascii="Times New Roman" w:hAnsi="Times New Roman" w:cs="Times New Roman"/>
          <w:sz w:val="24"/>
          <w:szCs w:val="24"/>
        </w:rPr>
        <w:t xml:space="preserve"> summarizes our experimental design.</w:t>
      </w:r>
    </w:p>
    <w:p w14:paraId="4C54C8F7" w14:textId="11501F69"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In each experimental session, 10 fishers from the same association entered the room and seated in front of an individual laptop. A facilitator informed the subjects that they will play 20 rounds of a CPR game in fixed groups of five, randomly and anonymously assembled by the software. Subjects were also informed that decisions would be recorded anonymously and that they could leave the experiment at any moment. After the instructions were read</w:t>
      </w:r>
      <w:r w:rsidR="00631208">
        <w:rPr>
          <w:rFonts w:ascii="Times New Roman" w:hAnsi="Times New Roman" w:cs="Times New Roman"/>
          <w:sz w:val="24"/>
          <w:szCs w:val="24"/>
        </w:rPr>
        <w:t xml:space="preserve"> (Supplementary Information)</w:t>
      </w:r>
      <w:r w:rsidRPr="000E7438">
        <w:rPr>
          <w:rFonts w:ascii="Times New Roman" w:hAnsi="Times New Roman" w:cs="Times New Roman"/>
          <w:sz w:val="24"/>
          <w:szCs w:val="24"/>
        </w:rPr>
        <w:t xml:space="preserve">, subjects played three trial rounds. Game instructions were identical for both treatments except for the words used to describe the resource units (i.e. number of locos/ kilos of hake), the action (i.e. harvesting/ fishing), and the enforcement authority (i.e. the association’s board/ the National Service of Fisheries) (see the Supplementary Materials). The game was programmed in z-Tree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{"citationID":"sqJuL87i","properties":{"formattedCitation":"(Fischbacher 2007)","plainCitation":"(Fischbacher 2007)","noteIndex":0},"citationItems":[{"id":419,"uris":["http://zotero.org/users/3065856/items/2W3IDQI2"],"uri":["http://zotero.org/users/3065856/items/2W3IDQI2"],"itemData":{"id":419,"type":"article-journal","abstract":"z-Tree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limitations.","container-title":"Experimental Economics","DOI":"10.1007/s10683-006-9159-4","ISSN":"1386-4157, 1573-6938","issue":"2","journalAbbreviation":"Exp Econ","language":"en","page":"171-178","source":"link.springer.com","title":"z-Tree: Zurich toolbox for ready-made economic experiments","title-short":"z-Tree","volume":"10","author":[{"family":"Fischbacher","given":"Urs"}],"issued":{"date-parts":[["2007",6,1]]}}}],"schema":"https://github.com/citation-style-language/schema/raw/master/csl-citation.json"}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(Fischbacher 2007)</w:t>
      </w:r>
      <w:r w:rsidR="002E7D13">
        <w:rPr>
          <w:rFonts w:ascii="Times New Roman" w:hAnsi="Times New Roman" w:cs="Times New Roman"/>
          <w:sz w:val="24"/>
          <w:szCs w:val="24"/>
        </w:rPr>
        <w:fldChar w:fldCharType="end"/>
      </w:r>
      <w:r w:rsidR="002E7D13">
        <w:rPr>
          <w:rFonts w:ascii="Times New Roman" w:hAnsi="Times New Roman" w:cs="Times New Roman"/>
          <w:sz w:val="24"/>
          <w:szCs w:val="24"/>
        </w:rPr>
        <w:t xml:space="preserve"> </w:t>
      </w:r>
      <w:r w:rsidRPr="000E7438">
        <w:rPr>
          <w:rFonts w:ascii="Times New Roman" w:hAnsi="Times New Roman" w:cs="Times New Roman"/>
          <w:sz w:val="24"/>
          <w:szCs w:val="24"/>
        </w:rPr>
        <w:t>and communication during the game was not allowed. Once a session was completed, fishers left the room to receive their payoffs in private while the next group entered the room, thus avoiding communication. We obtained informed consent from all participants. Our protocol was approved by the ethics committee of Pontificia Universidad Católica de Chile.</w:t>
      </w:r>
    </w:p>
    <w:p w14:paraId="6BAE8DA9" w14:textId="65A2A6AE" w:rsidR="000E7438" w:rsidRPr="002E7D13" w:rsidRDefault="000E7438" w:rsidP="000E7438">
      <w:pPr>
        <w:spacing w:line="480" w:lineRule="auto"/>
        <w:rPr>
          <w:rFonts w:ascii="Times New Roman" w:hAnsi="Times New Roman" w:cs="Times New Roman"/>
          <w:i/>
          <w:iCs/>
          <w:sz w:val="24"/>
          <w:szCs w:val="24"/>
        </w:rPr>
      </w:pPr>
      <w:r w:rsidRPr="002E7D13">
        <w:rPr>
          <w:rFonts w:ascii="Times New Roman" w:hAnsi="Times New Roman" w:cs="Times New Roman"/>
          <w:b/>
          <w:bCs/>
          <w:i/>
          <w:iCs/>
          <w:sz w:val="24"/>
          <w:szCs w:val="24"/>
        </w:rPr>
        <w:t>The common pool resource game</w:t>
      </w:r>
      <w:r w:rsidRPr="002E7D13">
        <w:rPr>
          <w:rFonts w:ascii="Times New Roman" w:hAnsi="Times New Roman" w:cs="Times New Roman"/>
          <w:i/>
          <w:iCs/>
          <w:sz w:val="24"/>
          <w:szCs w:val="24"/>
        </w:rPr>
        <w:t> </w:t>
      </w:r>
    </w:p>
    <w:p w14:paraId="227D75BF" w14:textId="14F8FAEF"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non-enforced stage</w:t>
      </w:r>
    </w:p>
    <w:p w14:paraId="345FEC31" w14:textId="22EDC8A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lastRenderedPageBreak/>
        <w:t>At the beginning of each round</w:t>
      </w:r>
      <m:oMath>
        <m:r>
          <w:rPr>
            <w:rFonts w:ascii="Cambria Math" w:hAnsi="Cambria Math" w:cs="Times New Roman"/>
            <w:sz w:val="24"/>
            <w:szCs w:val="24"/>
          </w:rPr>
          <m:t xml:space="preserve"> t∈</m:t>
        </m:r>
        <m:d>
          <m:dPr>
            <m:begChr m:val="{"/>
            <m:endChr m:val="}"/>
            <m:ctrlPr>
              <w:rPr>
                <w:rFonts w:ascii="Cambria Math" w:hAnsi="Cambria Math" w:cs="Times New Roman"/>
                <w:i/>
                <w:sz w:val="24"/>
                <w:szCs w:val="24"/>
              </w:rPr>
            </m:ctrlPr>
          </m:dPr>
          <m:e>
            <m:r>
              <w:rPr>
                <w:rFonts w:ascii="Cambria Math" w:hAnsi="Cambria Math" w:cs="Times New Roman"/>
                <w:sz w:val="24"/>
                <w:szCs w:val="24"/>
              </w:rPr>
              <m:t>0,…, 9</m:t>
            </m:r>
          </m:e>
        </m:d>
      </m:oMath>
      <w:r w:rsidRPr="000E7438">
        <w:rPr>
          <w:rFonts w:ascii="Times New Roman" w:eastAsiaTheme="minorEastAsia" w:hAnsi="Times New Roman" w:cs="Times New Roman"/>
          <w:sz w:val="24"/>
          <w:szCs w:val="24"/>
        </w:rPr>
        <w:t>,</w:t>
      </w:r>
      <w:r w:rsidRPr="000E7438">
        <w:rPr>
          <w:rFonts w:ascii="Times New Roman" w:hAnsi="Times New Roman" w:cs="Times New Roman"/>
          <w:sz w:val="24"/>
          <w:szCs w:val="24"/>
        </w:rPr>
        <w:t xml:space="preserve"> each fisher was endowed with 100 units of the resource representing their individual quota which was assumed to be harvested completely. Then, simultaneously, each</w:t>
      </w:r>
      <w:r w:rsidRPr="000E7438">
        <w:rPr>
          <w:rFonts w:ascii="Times New Roman" w:eastAsiaTheme="minorEastAsia" w:hAnsi="Times New Roman" w:cs="Times New Roman"/>
          <w:sz w:val="24"/>
          <w:szCs w:val="24"/>
        </w:rPr>
        <w:t xml:space="preserve"> fisher </w:t>
      </w:r>
      <m:oMath>
        <m:r>
          <w:rPr>
            <w:rFonts w:ascii="Cambria Math" w:eastAsiaTheme="minorEastAsia" w:hAnsi="Cambria Math" w:cs="Times New Roman"/>
            <w:sz w:val="24"/>
            <w:szCs w:val="24"/>
          </w:rPr>
          <m:t>i ∈{1,…,5}</m:t>
        </m:r>
      </m:oMath>
      <w:r w:rsidRPr="000E7438">
        <w:rPr>
          <w:rFonts w:ascii="Times New Roman" w:eastAsiaTheme="minorEastAsia" w:hAnsi="Times New Roman" w:cs="Times New Roman"/>
          <w:sz w:val="24"/>
          <w:szCs w:val="24"/>
        </w:rPr>
        <w:t xml:space="preserve"> had to </w:t>
      </w:r>
      <w:r w:rsidRPr="000E7438">
        <w:rPr>
          <w:rFonts w:ascii="Times New Roman" w:hAnsi="Times New Roman" w:cs="Times New Roman"/>
          <w:sz w:val="24"/>
          <w:szCs w:val="24"/>
        </w:rPr>
        <w:t xml:space="preserve">privately decide the </w:t>
      </w:r>
      <m:oMath>
        <m:r>
          <w:rPr>
            <w:rFonts w:ascii="Cambria Math" w:hAnsi="Cambria Math" w:cs="Times New Roman"/>
            <w:sz w:val="24"/>
            <w:szCs w:val="24"/>
          </w:rPr>
          <m:t>x∈ {0,…50}</m:t>
        </m:r>
      </m:oMath>
      <w:r w:rsidRPr="000E7438">
        <w:rPr>
          <w:rFonts w:ascii="Times New Roman" w:hAnsi="Times New Roman" w:cs="Times New Roman"/>
          <w:sz w:val="24"/>
          <w:szCs w:val="24"/>
        </w:rPr>
        <w:t xml:space="preserve"> number of units to harvest above their quota (i.e. overharvest). There was a negative externality to mimic the cost that overharvest imposes on other users in real life. For each unit that a fisher decided to overharvest, each other member of their group </w:t>
      </w:r>
      <m:oMath>
        <m:r>
          <w:rPr>
            <w:rFonts w:ascii="Cambria Math" w:hAnsi="Cambria Math" w:cs="Times New Roman"/>
            <w:sz w:val="24"/>
            <w:szCs w:val="24"/>
          </w:rPr>
          <m:t>(j ∈</m:t>
        </m:r>
        <m:d>
          <m:dPr>
            <m:begChr m:val="{"/>
            <m:endChr m:val="}"/>
            <m:ctrlPr>
              <w:rPr>
                <w:rFonts w:ascii="Cambria Math" w:hAnsi="Cambria Math" w:cs="Times New Roman"/>
                <w:i/>
                <w:sz w:val="24"/>
                <w:szCs w:val="24"/>
              </w:rPr>
            </m:ctrlPr>
          </m:dPr>
          <m:e>
            <m:r>
              <w:rPr>
                <w:rFonts w:ascii="Cambria Math" w:hAnsi="Cambria Math" w:cs="Times New Roman"/>
                <w:sz w:val="24"/>
                <w:szCs w:val="24"/>
              </w:rPr>
              <m:t>1, …, 5</m:t>
            </m:r>
          </m:e>
        </m:d>
        <m:r>
          <w:rPr>
            <w:rFonts w:ascii="Cambria Math" w:hAnsi="Cambria Math" w:cs="Times New Roman"/>
            <w:sz w:val="24"/>
            <w:szCs w:val="24"/>
          </w:rPr>
          <m:t>≠i)</m:t>
        </m:r>
      </m:oMath>
      <w:r w:rsidRPr="000E7438">
        <w:rPr>
          <w:rFonts w:ascii="Times New Roman" w:hAnsi="Times New Roman" w:cs="Times New Roman"/>
          <w:sz w:val="24"/>
          <w:szCs w:val="24"/>
        </w:rPr>
        <w:t xml:space="preserve"> lost half a unit. The unitary price of a unit was $10 CLP. The individual payoff per round was given by:</w:t>
      </w:r>
    </w:p>
    <w:p w14:paraId="5EF4E04D" w14:textId="77777777" w:rsidR="000E7438" w:rsidRPr="000E7438" w:rsidRDefault="00F478AF" w:rsidP="000E7438">
      <w:pPr>
        <w:pStyle w:val="ListParagraph"/>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j,t</m:t>
                    </m:r>
                  </m:sub>
                </m:sSub>
              </m:e>
            </m:nary>
          </m:e>
        </m:d>
        <m:r>
          <w:rPr>
            <w:rFonts w:ascii="Cambria Math" w:eastAsiaTheme="minorEastAsia" w:hAnsi="Cambria Math"/>
            <w:sz w:val="24"/>
            <w:szCs w:val="24"/>
          </w:rPr>
          <m:t>×$10</m:t>
        </m:r>
      </m:oMath>
      <w:r w:rsidR="000E7438" w:rsidRPr="000E7438">
        <w:rPr>
          <w:rFonts w:eastAsiaTheme="minorEastAsia"/>
          <w:sz w:val="24"/>
          <w:szCs w:val="24"/>
        </w:rPr>
        <w:t xml:space="preserve">     </w:t>
      </w:r>
    </w:p>
    <w:p w14:paraId="734DD544" w14:textId="77777777" w:rsidR="000E7438" w:rsidRPr="000E7438" w:rsidRDefault="000E7438" w:rsidP="000E7438">
      <w:pPr>
        <w:pStyle w:val="ListParagraph"/>
        <w:spacing w:line="480" w:lineRule="auto"/>
        <w:rPr>
          <w:sz w:val="24"/>
          <w:szCs w:val="24"/>
        </w:rPr>
      </w:pPr>
    </w:p>
    <w:p w14:paraId="0BFB961B" w14:textId="10D5AD0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This payoff function generated tension between the individual and the group’s interest. Assuming self-interested, rational behavior, each subject would have maximized their expected payoff by overharvesting as many units as possible. Therefore, the unique equilibrium was a tragedy of the commons in which every subject overharvest 50 units in every round </w:t>
      </w:r>
      <w:r w:rsidR="001B19F2">
        <w:rPr>
          <w:rFonts w:ascii="Times New Roman" w:hAnsi="Times New Roman" w:cs="Times New Roman"/>
          <w:sz w:val="24"/>
          <w:szCs w:val="24"/>
        </w:rPr>
        <w:fldChar w:fldCharType="begin"/>
      </w:r>
      <w:r w:rsidR="001B19F2">
        <w:rPr>
          <w:rFonts w:ascii="Times New Roman" w:hAnsi="Times New Roman" w:cs="Times New Roman"/>
          <w:sz w:val="24"/>
          <w:szCs w:val="24"/>
        </w:rPr>
        <w:instrText xml:space="preserve"> ADDIN ZOTERO_ITEM CSL_CITATION {"citationID":"37lnd1df","properties":{"formattedCitation":"(Gelcich et al. 2013)","plainCitation":"(Gelcich et al. 2013)","noteIndex":0},"citationItems":[{"id":478,"uris":["http://zotero.org/users/3065856/items/BEGEFJR5"],"uri":["http://zotero.org/users/3065856/items/BEGEFJR5"],"itemData":{"id":478,"type":"article-journal","abstract":"Gelcich,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Camilo"}],"accessed":{"date-parts":[["2017",5,15]]},"issued":{"date-parts":[["2013",7,24]]}}}],"schema":"https://github.com/citation-style-language/schema/raw/master/csl-citation.json"} </w:instrText>
      </w:r>
      <w:r w:rsidR="001B19F2">
        <w:rPr>
          <w:rFonts w:ascii="Times New Roman" w:hAnsi="Times New Roman" w:cs="Times New Roman"/>
          <w:sz w:val="24"/>
          <w:szCs w:val="24"/>
        </w:rPr>
        <w:fldChar w:fldCharType="separate"/>
      </w:r>
      <w:r w:rsidR="001B19F2" w:rsidRPr="001B19F2">
        <w:rPr>
          <w:rFonts w:ascii="Times New Roman" w:hAnsi="Times New Roman" w:cs="Times New Roman"/>
          <w:sz w:val="24"/>
        </w:rPr>
        <w:t>(Gelcich et al. 2013)</w:t>
      </w:r>
      <w:r w:rsidR="001B19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this stage of the game, there was no enforcement of the quota, and fishers could overharvest without being punished. Once all subjects entered their decisions, a summary screen revealed to each fisher their total harvest, the mean harvest of other group members, how many units they lost due to others’ overharvest, and their accumulated payoffs. </w:t>
      </w:r>
    </w:p>
    <w:p w14:paraId="429C67B8" w14:textId="2EBF53FB"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peer-enforced stage</w:t>
      </w:r>
    </w:p>
    <w:p w14:paraId="0543DA3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At the beginning of the 11th round, a peer-enforcement mechanism was introduced unexpectedly and permanently. In the remaining rounds, once all fishers had entered their overharvest decisions, two fishers were randomly assigned as inspectors and randomly and anonymously matched with another group member to be inspected. The harvest of the inspected fisher was </w:t>
      </w:r>
      <w:r w:rsidRPr="000E7438">
        <w:rPr>
          <w:rFonts w:ascii="Times New Roman" w:hAnsi="Times New Roman" w:cs="Times New Roman"/>
          <w:sz w:val="24"/>
          <w:szCs w:val="24"/>
        </w:rPr>
        <w:lastRenderedPageBreak/>
        <w:t xml:space="preserve">revealed to their inspector, and if overharvest was above zero, the inspector had the opportunity to report the offender. Once an offender was reported, their harvest for the round was seized. This mechanism recreates fishers’ real-life decision on whether to report non-compliance to authorities. Once inspectors entered their decisions, a summary screen revealed to each fisher their harvest, others’ mean harvest, the number of units lost due to others’ overharvest, their earnings, and whether their harvest was seized due to a peer’s report. </w:t>
      </w:r>
    </w:p>
    <w:p w14:paraId="1717E1DA" w14:textId="0E1857F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To recreate the payment a fisher would earn for patrolling, we automatically added $250 CLP to a fisher’s account each time they were appointed as inspectors. Because reporting a peer is costly in real life, inspectors had to pay $250 CLP to report. Assuming rational, self-interested behavior, fishers would not engage in costly peer-enforcement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{"citationID":"navx94Pf","properties":{"formattedCitation":"(Yamagishi 1986)","plainCitation":"(Yamagishi 1986)","noteIndex":0},"citationItems":[{"id":682,"uris":["http://zotero.org/users/3065856/items/DC834F2S"],"uri":["http://zotero.org/users/3065856/items/DC834F2S"],"itemData":{"id":682,"type":"article-journal","container-title":"J.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(Yamagishi 1986)</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Thus, the equilibrium for the peer-enforced stage was also a tragedy of the commons.</w:t>
      </w:r>
    </w:p>
    <w:p w14:paraId="5A60D0E9" w14:textId="56F389F4"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Statistical Analysis</w:t>
      </w:r>
    </w:p>
    <w:p w14:paraId="4F3B681D"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We operationalized compliance as the percent of resource units that were not overharvested (i.e. an overharvest decision of 50 units corresponded to 0% compliance and an overharvest of 0 units to 100% compliance). Peer-enforcement was assessed as the probability of reporting (i.e. the number of reports over the number of opportunities to report). We used a non-parametric approach with analyses ran over observations aggregated at the individual level. We additionally applied a parametric approach which provides greater power to test whether our main results hold when observations are aggregated at the group level in every round.</w:t>
      </w:r>
    </w:p>
    <w:p w14:paraId="351608D6" w14:textId="7A346B8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To test differences in compliance we ran pairwise comparisons of the individual percent of compliance between treatments for each association type, between association types under each treatment, and between stages for each treatment-association-type combination. To test </w:t>
      </w:r>
      <w:r w:rsidRPr="000E7438">
        <w:rPr>
          <w:rFonts w:ascii="Times New Roman" w:hAnsi="Times New Roman" w:cs="Times New Roman"/>
          <w:sz w:val="24"/>
          <w:szCs w:val="24"/>
        </w:rPr>
        <w:lastRenderedPageBreak/>
        <w:t xml:space="preserve">differences in peer-enforcement we ran pairwise comparisons of the individual probability of reporting between treatments for each association type and between associations types under each treatment. Finally, we ran pairwise comparisons of the individual percent of compliance between the first and the last round in each treatment-stage-association-type combination to evaluate changes in compliance within a stage of the game. We used the Wilcoxon test with two-sided hypotheses testing for each comparison. P-values were adjusted for multiple hypotheses testing within each set of comparisons using the Bonferroni correction method considering a significance level equal to 5%. </w:t>
      </w:r>
    </w:p>
    <w:p w14:paraId="295DCD97" w14:textId="58002CB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parametric approach corresponded to the use of two sets of ordinary least squared (OLS) regressions with robust SEs for (i) compliance and (ii) peer-enforcement. The independent variable for (i) was the group percent of compliance in each round and for (ii) was the group probability of reporting in each round. We built multiple models for (i) and (ii) that sequentially included blocks of relevant explanatory variables. This allowed us to check for the stability of coefficients across specifications and to disaggregate the effects of interacting variables. Explanatory variables used in (i) included dummy variables for the CEAR treatment, high-performance associations, and the peer-enforced stage, continuous variables to enumerate the rounds in the non-enforced and peer-enforced stages (from 0 to 9), and relevant interactions of these variables. For (ii), explanatory variables included dummy variables for the CEAR treatment, low-performance associations, and high-performance associations. We also included two control variables — a variable enumerating the round of the peer-enforced stage (from 0 to 9) and the mean overharvest observed by inspectors in each group and round. We only discussed effects that were consistent across model specifications and reported the results of the most </w:t>
      </w:r>
      <w:r w:rsidRPr="000E7438">
        <w:rPr>
          <w:rFonts w:ascii="Times New Roman" w:hAnsi="Times New Roman" w:cs="Times New Roman"/>
          <w:sz w:val="24"/>
          <w:szCs w:val="24"/>
        </w:rPr>
        <w:lastRenderedPageBreak/>
        <w:t>parsimonious models for (i) and (ii) in the main text, which were selected based on Akaike’s information criterion. Data and code are available at</w:t>
      </w:r>
      <w:r>
        <w:rPr>
          <w:rFonts w:ascii="Times New Roman" w:hAnsi="Times New Roman" w:cs="Times New Roman"/>
          <w:sz w:val="24"/>
          <w:szCs w:val="24"/>
        </w:rPr>
        <w:t xml:space="preserve"> </w:t>
      </w:r>
      <w:r w:rsidRPr="000E7438">
        <w:rPr>
          <w:rFonts w:ascii="Times New Roman" w:hAnsi="Times New Roman" w:cs="Times New Roman"/>
          <w:sz w:val="24"/>
          <w:szCs w:val="24"/>
        </w:rPr>
        <w:t>https://github.com</w:t>
      </w:r>
      <w:r>
        <w:rPr>
          <w:rFonts w:ascii="Times New Roman" w:hAnsi="Times New Roman" w:cs="Times New Roman"/>
          <w:sz w:val="24"/>
          <w:szCs w:val="24"/>
        </w:rPr>
        <w:t>/xxxxxxxx</w:t>
      </w:r>
      <w:r w:rsidRPr="000E7438">
        <w:rPr>
          <w:rFonts w:ascii="Times New Roman" w:hAnsi="Times New Roman" w:cs="Times New Roman"/>
          <w:sz w:val="24"/>
          <w:szCs w:val="24"/>
        </w:rPr>
        <w:t>.</w:t>
      </w:r>
    </w:p>
    <w:p w14:paraId="0EA4D726" w14:textId="19BFF825"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Results</w:t>
      </w:r>
    </w:p>
    <w:p w14:paraId="64DE969B" w14:textId="749F557E"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 xml:space="preserve">Differences in compliance </w:t>
      </w:r>
    </w:p>
    <w:p w14:paraId="1D7B2880" w14:textId="17C3C1EF"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As hypothesized compliance was higher under the CEAR treatment than under the pseudo-OA treatment (</w:t>
      </w:r>
      <w:r w:rsidRPr="000E7438">
        <w:rPr>
          <w:rFonts w:ascii="Times New Roman" w:hAnsi="Times New Roman" w:cs="Times New Roman"/>
          <w:b/>
          <w:bCs/>
          <w:sz w:val="24"/>
          <w:szCs w:val="24"/>
        </w:rPr>
        <w:t>Fig. 1</w:t>
      </w:r>
      <w:r w:rsidRPr="000E7438">
        <w:rPr>
          <w:rFonts w:ascii="Times New Roman" w:hAnsi="Times New Roman" w:cs="Times New Roman"/>
          <w:sz w:val="24"/>
          <w:szCs w:val="24"/>
        </w:rPr>
        <w:t xml:space="preserve">). This difference was significant only for high-performance associations which presented a mean individual percent of compliance of 72% under the CEAR treatment and of 44% under the </w:t>
      </w:r>
      <w:r w:rsidRPr="00205B19">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(Wilcoxon signed-rank test, W = 238.5, adjusted p-value </w:t>
      </w:r>
      <w:r w:rsidR="004B1268">
        <w:rPr>
          <w:rFonts w:ascii="Times New Roman" w:hAnsi="Times New Roman" w:cs="Times New Roman"/>
          <w:sz w:val="24"/>
          <w:szCs w:val="24"/>
        </w:rPr>
        <w:t>&lt;</w:t>
      </w:r>
      <w:r w:rsidRPr="000E7438">
        <w:rPr>
          <w:rFonts w:ascii="Times New Roman" w:hAnsi="Times New Roman" w:cs="Times New Roman"/>
          <w:sz w:val="24"/>
          <w:szCs w:val="24"/>
        </w:rPr>
        <w:t xml:space="preserve"> 0.0</w:t>
      </w:r>
      <w:r w:rsidR="004B1268">
        <w:rPr>
          <w:rFonts w:ascii="Times New Roman" w:hAnsi="Times New Roman" w:cs="Times New Roman"/>
          <w:sz w:val="24"/>
          <w:szCs w:val="24"/>
        </w:rPr>
        <w:t>1</w:t>
      </w:r>
      <w:r w:rsidRPr="000E7438">
        <w:rPr>
          <w:rFonts w:ascii="Times New Roman" w:hAnsi="Times New Roman" w:cs="Times New Roman"/>
          <w:sz w:val="24"/>
          <w:szCs w:val="24"/>
        </w:rPr>
        <w:t>, n = 60). In the case of low-performance associations, the mean individual percent of compliance was 57% and 49% under the CEAR and pseudo-OA treatments, respectively, with no statistically significant differences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 xml:space="preserve">). </w:t>
      </w:r>
    </w:p>
    <w:p w14:paraId="62C23588"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Strategies of players that choose to comply in every round (i.e. overharvest zero in every round) are particularly revealing regarding motivations towards compliance. Therefore, we assessed the effect of treatment on the frequency of this strategy. We found that in high-performance associations, 10 subjects choose to comply in every round under the CEAR treatment and only two applied this strategy under the pseudo-OA treatment (Fisher exact test, adjusted p-value = 0.042, n=60). This difference was not significant in low-performance associations in which only two subjects complied in every round under the CEAR treatment and one under the pseudo-OA treatment.</w:t>
      </w:r>
    </w:p>
    <w:p w14:paraId="5D7E57ED" w14:textId="615C3E6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Differences in compliance between high- and low-performance associations under the CEAR treatment reflected real-life differences regarding success with CEAR. The mean individual percent of compliance was significantly higher in high-performance associations compared to </w:t>
      </w:r>
      <w:r w:rsidRPr="000E7438">
        <w:rPr>
          <w:rFonts w:ascii="Times New Roman" w:hAnsi="Times New Roman" w:cs="Times New Roman"/>
          <w:sz w:val="24"/>
          <w:szCs w:val="24"/>
        </w:rPr>
        <w:lastRenderedPageBreak/>
        <w:t>low-performance associations under the CEAR treatment (</w:t>
      </w:r>
      <w:r w:rsidRPr="000E7438">
        <w:rPr>
          <w:rFonts w:ascii="Times New Roman" w:hAnsi="Times New Roman" w:cs="Times New Roman"/>
          <w:b/>
          <w:bCs/>
          <w:sz w:val="24"/>
          <w:szCs w:val="24"/>
        </w:rPr>
        <w:t>Fig</w:t>
      </w:r>
      <w:r>
        <w:rPr>
          <w:rFonts w:ascii="Times New Roman" w:hAnsi="Times New Roman" w:cs="Times New Roman"/>
          <w:b/>
          <w:bCs/>
          <w:sz w:val="24"/>
          <w:szCs w:val="24"/>
        </w:rPr>
        <w:t>.</w:t>
      </w:r>
      <w:r w:rsidRPr="000E7438">
        <w:rPr>
          <w:rFonts w:ascii="Times New Roman" w:hAnsi="Times New Roman" w:cs="Times New Roman"/>
          <w:b/>
          <w:bCs/>
          <w:sz w:val="24"/>
          <w:szCs w:val="24"/>
        </w:rPr>
        <w:t xml:space="preserve"> 1</w:t>
      </w:r>
      <w:r w:rsidRPr="000E7438">
        <w:rPr>
          <w:rFonts w:ascii="Times New Roman" w:hAnsi="Times New Roman" w:cs="Times New Roman"/>
          <w:sz w:val="24"/>
          <w:szCs w:val="24"/>
        </w:rPr>
        <w:t xml:space="preserve">, Wilcoxon signed-rank test, W = 2,371.5, adjusted p-value = 0.02, n= 60) but not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regime treatment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w:t>
      </w:r>
    </w:p>
    <w:p w14:paraId="4214B451" w14:textId="0E16C0C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 showed that the mean group percent of compliance was almost 20% higher in high-performance associations under the CEAR treatment compared to the </w:t>
      </w:r>
      <w:r w:rsidRPr="007F67FE">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as well as to compared to the mean group percent of compliance for low-performance associations under both treatments (CEAR × High-perf. association = 19.81, p &lt;0.001, 95% CI [10.66 – 28.96] in Model 5, </w:t>
      </w:r>
      <w:r w:rsidRPr="000E7438">
        <w:rPr>
          <w:rFonts w:ascii="Times New Roman" w:hAnsi="Times New Roman" w:cs="Times New Roman"/>
          <w:b/>
          <w:bCs/>
          <w:sz w:val="24"/>
          <w:szCs w:val="24"/>
        </w:rPr>
        <w:t>Table S</w:t>
      </w:r>
      <w:r>
        <w:rPr>
          <w:rFonts w:ascii="Times New Roman" w:hAnsi="Times New Roman" w:cs="Times New Roman"/>
          <w:b/>
          <w:bCs/>
          <w:sz w:val="24"/>
          <w:szCs w:val="24"/>
        </w:rPr>
        <w:t>3</w:t>
      </w:r>
      <w:r w:rsidRPr="000E7438">
        <w:rPr>
          <w:rFonts w:ascii="Times New Roman" w:hAnsi="Times New Roman" w:cs="Times New Roman"/>
          <w:sz w:val="24"/>
          <w:szCs w:val="24"/>
        </w:rPr>
        <w:t>).</w:t>
      </w:r>
    </w:p>
    <w:p w14:paraId="7968B56D" w14:textId="1F9FA981"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Differences in peer-enforcement</w:t>
      </w:r>
    </w:p>
    <w:p w14:paraId="4105051E" w14:textId="4AEF58A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Treatment effect on peer-enforcement also matched hypothesized outcomes since peer-enforcement was higher under the CEAR treatment than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treatment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xml:space="preserve">). However, statistical differences were less clear than for compliance behavior. For high-performance associations, the mean individual probability of reporting was 0.70 under the CEAR treatment and 0.41 under the </w:t>
      </w:r>
      <w:r w:rsidRPr="009F5FB7">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This difference was significant but did not survive correction for multiple hypotheses testing (Wilcoxon signed-rank test, W = 215.5, p-value = 0.027, adjusted p-value = 0.11). In the case of low-performance associations, the mean individual probability of reporting was 0.31 and 0.18 under the CEAR and the </w:t>
      </w:r>
      <w:r w:rsidRPr="00361093">
        <w:rPr>
          <w:rFonts w:ascii="Times New Roman" w:hAnsi="Times New Roman" w:cs="Times New Roman"/>
          <w:i/>
          <w:iCs/>
          <w:sz w:val="24"/>
          <w:szCs w:val="24"/>
        </w:rPr>
        <w:t>pseudo</w:t>
      </w:r>
      <w:r w:rsidRPr="000E7438">
        <w:rPr>
          <w:rFonts w:ascii="Times New Roman" w:hAnsi="Times New Roman" w:cs="Times New Roman"/>
          <w:sz w:val="24"/>
          <w:szCs w:val="24"/>
        </w:rPr>
        <w:t>-OA treatments, respectively with no significant differences between treatments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4</w:t>
      </w:r>
      <w:r w:rsidRPr="000E7438">
        <w:rPr>
          <w:rFonts w:ascii="Times New Roman" w:hAnsi="Times New Roman" w:cs="Times New Roman"/>
          <w:sz w:val="24"/>
          <w:szCs w:val="24"/>
        </w:rPr>
        <w:t xml:space="preserve">). </w:t>
      </w:r>
    </w:p>
    <w:p w14:paraId="20D3EC00" w14:textId="058C470C"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Differences in peer-enforcement between association types also reflected real-life differences with CEAR. The mean individual probability of reporting under the CEAR treatment was significantly higher in high-performance associations compared to low-performance associations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xml:space="preserve">, Wilcoxon signed-rank test, W = 487.5, adjusted p-value = 0.008). In the case of the </w:t>
      </w:r>
      <w:r w:rsidRPr="004925AA">
        <w:rPr>
          <w:rFonts w:ascii="Times New Roman" w:hAnsi="Times New Roman" w:cs="Times New Roman"/>
          <w:i/>
          <w:iCs/>
          <w:sz w:val="24"/>
          <w:szCs w:val="24"/>
        </w:rPr>
        <w:lastRenderedPageBreak/>
        <w:t>pseud</w:t>
      </w:r>
      <w:r w:rsidRPr="000E7438">
        <w:rPr>
          <w:rFonts w:ascii="Times New Roman" w:hAnsi="Times New Roman" w:cs="Times New Roman"/>
          <w:sz w:val="24"/>
          <w:szCs w:val="24"/>
        </w:rPr>
        <w:t xml:space="preserve">o-OA treatment, differences between association types did not survive correction for multiple hypotheses testing (Wilcoxon test, W = 548.5, p-value = 0.033, adjusted p-value = 0.132). </w:t>
      </w:r>
    </w:p>
    <w:p w14:paraId="7D1179E3" w14:textId="7599884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models revealed that the group probability of reporting was significantly higher under the CEAR treatment for high-performance associations compared to the other treatment-association-type combinations (CEAR × High-perf. asso. = 0.24, p &lt;0.05 in Model 5; negative and significant coefficients “Pseudo-OA × High-perf. asso.”, “CEAR × Low-perf. asso.”, and “Pseudo-OA × Low-perf. asso.” in Model 7,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 xml:space="preserve">). This analysis also showed that in groups of fishers from high-performance associations the probability of reporting was marginally higher independent of the treatment (High-performance asso. = 0.13, p =0.09, 95% CI [-0.01, 0.27] in Model 5,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w:t>
      </w:r>
    </w:p>
    <w:p w14:paraId="227DFB05" w14:textId="4B366E8A"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effect of peer-enforcement on compliance</w:t>
      </w:r>
    </w:p>
    <w:p w14:paraId="4A9C250A" w14:textId="2618F479"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There were no significant differences in the mean individual percent of compliance between the non-enforced and the peer-enforced stages for any of the association types under any of the treatments (</w:t>
      </w:r>
      <w:r w:rsidRPr="00CC41F2">
        <w:rPr>
          <w:rFonts w:ascii="Times New Roman" w:hAnsi="Times New Roman" w:cs="Times New Roman"/>
          <w:b/>
          <w:bCs/>
          <w:sz w:val="24"/>
          <w:szCs w:val="24"/>
        </w:rPr>
        <w:t>Table S</w:t>
      </w:r>
      <w:r w:rsidR="005B7FD2">
        <w:rPr>
          <w:rFonts w:ascii="Times New Roman" w:hAnsi="Times New Roman" w:cs="Times New Roman"/>
          <w:b/>
          <w:bCs/>
          <w:sz w:val="24"/>
          <w:szCs w:val="24"/>
        </w:rPr>
        <w:t>2</w:t>
      </w:r>
      <w:r w:rsidRPr="000E7438">
        <w:rPr>
          <w:rFonts w:ascii="Times New Roman" w:hAnsi="Times New Roman" w:cs="Times New Roman"/>
          <w:sz w:val="24"/>
          <w:szCs w:val="24"/>
        </w:rPr>
        <w:t>). Nonetheless, peer-enforcement averted the decline of compliance under the CEAR treatment for high-performance associations (</w:t>
      </w:r>
      <w:r w:rsidRPr="00CC41F2">
        <w:rPr>
          <w:rFonts w:ascii="Times New Roman" w:hAnsi="Times New Roman" w:cs="Times New Roman"/>
          <w:b/>
          <w:bCs/>
          <w:sz w:val="24"/>
          <w:szCs w:val="24"/>
        </w:rPr>
        <w:t>Fig</w:t>
      </w:r>
      <w:r w:rsidR="00CC41F2" w:rsidRPr="00CC41F2">
        <w:rPr>
          <w:rFonts w:ascii="Times New Roman" w:hAnsi="Times New Roman" w:cs="Times New Roman"/>
          <w:b/>
          <w:bCs/>
          <w:sz w:val="24"/>
          <w:szCs w:val="24"/>
        </w:rPr>
        <w:t>.</w:t>
      </w:r>
      <w:r w:rsidRPr="00CC41F2">
        <w:rPr>
          <w:rFonts w:ascii="Times New Roman" w:hAnsi="Times New Roman" w:cs="Times New Roman"/>
          <w:b/>
          <w:bCs/>
          <w:sz w:val="24"/>
          <w:szCs w:val="24"/>
        </w:rPr>
        <w:t xml:space="preserve"> 3</w:t>
      </w:r>
      <w:r w:rsidRPr="000E7438">
        <w:rPr>
          <w:rFonts w:ascii="Times New Roman" w:hAnsi="Times New Roman" w:cs="Times New Roman"/>
          <w:sz w:val="24"/>
          <w:szCs w:val="24"/>
        </w:rPr>
        <w:t>). In the case of high-performance associations under the CEAR treatment, the mean individual percent of compliance was 80% in the first round of the non-enforced stage and significantly declined to around 60% to the end of the non-enforced stage (Paired samples Wilcoxon test comparing the first and the last round in the non-enforced stage, W = 147, p-value adjusted &lt;0.001, n=60). In the peer-enforced stage, however, high-performance associations under the CEAR treatment restored high levels of compliance which remained unchanged until the end of the game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xml:space="preserve">). No significant changes in the mean individual percent of compliance occurred under the pseudo-OA treatment </w:t>
      </w:r>
      <w:r w:rsidRPr="000E7438">
        <w:rPr>
          <w:rFonts w:ascii="Times New Roman" w:hAnsi="Times New Roman" w:cs="Times New Roman"/>
          <w:sz w:val="24"/>
          <w:szCs w:val="24"/>
        </w:rPr>
        <w:lastRenderedPageBreak/>
        <w:t>for high-performance associations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There were also no significant changes in the mean individual percent of compliance during any of the stages for low-performance associations under any of the treatments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xml:space="preserve">). </w:t>
      </w:r>
    </w:p>
    <w:p w14:paraId="061C6527" w14:textId="3F0C4DA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 marginally significant decline in compliance in the non-enforced stage was confirmed by the most parsimonious OLS model with observations aggregated at the group level (Non-enforced rounds = -1.10, p &lt;0.06, 95% CI [-2.25, 0.05] in Model 5, </w:t>
      </w:r>
      <w:r w:rsidRPr="00CC41F2">
        <w:rPr>
          <w:rFonts w:ascii="Times New Roman" w:hAnsi="Times New Roman" w:cs="Times New Roman"/>
          <w:b/>
          <w:bCs/>
          <w:sz w:val="24"/>
          <w:szCs w:val="24"/>
        </w:rPr>
        <w:t>Table S</w:t>
      </w:r>
      <w:r w:rsidR="003F401D">
        <w:rPr>
          <w:rFonts w:ascii="Times New Roman" w:hAnsi="Times New Roman" w:cs="Times New Roman"/>
          <w:b/>
          <w:bCs/>
          <w:sz w:val="24"/>
          <w:szCs w:val="24"/>
        </w:rPr>
        <w:t>3</w:t>
      </w:r>
      <w:r w:rsidRPr="000E7438">
        <w:rPr>
          <w:rFonts w:ascii="Times New Roman" w:hAnsi="Times New Roman" w:cs="Times New Roman"/>
          <w:sz w:val="24"/>
          <w:szCs w:val="24"/>
        </w:rPr>
        <w:t>).</w:t>
      </w:r>
    </w:p>
    <w:p w14:paraId="4EAE1FA2" w14:textId="023B7236" w:rsidR="000E7438" w:rsidRPr="00CC41F2" w:rsidRDefault="000E7438" w:rsidP="000E7438">
      <w:pPr>
        <w:spacing w:line="480" w:lineRule="auto"/>
        <w:rPr>
          <w:rFonts w:ascii="Times New Roman" w:hAnsi="Times New Roman" w:cs="Times New Roman"/>
          <w:b/>
          <w:bCs/>
          <w:sz w:val="24"/>
          <w:szCs w:val="24"/>
        </w:rPr>
      </w:pPr>
      <w:r w:rsidRPr="00CC41F2">
        <w:rPr>
          <w:rFonts w:ascii="Times New Roman" w:hAnsi="Times New Roman" w:cs="Times New Roman"/>
          <w:b/>
          <w:bCs/>
          <w:sz w:val="24"/>
          <w:szCs w:val="24"/>
        </w:rPr>
        <w:t>Discussion</w:t>
      </w:r>
    </w:p>
    <w:p w14:paraId="09005635"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Identifying policy levers to promote local environmental stewardship amongst CPRs users is necessary to prevent natural resource degradation in the absence of effective central enforcement. We provide evidence that access policies governing resource extraction can influence users’ compliance and peer-enforcement. We showed that fishers who have experienced effective management under CEAR displayed higher stewardship in a CPR game framed as the harvest of loco, which operates under CEAR in real life, than in the same game framed as the fishing of hake, which operates under pseudo-OA. While this result supports the role of formal CEARs in promoting CPR users’ stewardship behaviors, our results also highlight that CEARs alone do not guarantee the internalization of environmental stewardship. This is confirmed by the low compliance and peer-enforcement displayed by low-performance associations under the CEAR treatment.</w:t>
      </w:r>
    </w:p>
    <w:p w14:paraId="6CF7E640" w14:textId="523CE76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provide experimental support to previous observations that suggest that CEAR policies motivate fishers’ local stewardship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{"citationID":"FkVcqeue","properties":{"formattedCitation":"(Gelcich et al. 2010; McDonald et al. 2020)","plainCitation":"(Gelcich et al. 2010; McDonald et al. 2020)","noteIndex":0},"citationItems":[{"id":1,"uris":["http://zotero.org/users/3065856/items/QVTZZTBZ"],"uri":["http://zotero.org/users/3065856/items/QVTZZTBZ"],"itemData":{"id":1,"type":"article-journal","abstract":"Marine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 McDonald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We found that for the same group of users, compliance and peer-enforcement increased under the CEAR treatment relative to the pseudo-OA treatment. Our experimental approach takes care of </w:t>
      </w:r>
      <w:r w:rsidRPr="000E7438">
        <w:rPr>
          <w:rFonts w:ascii="Times New Roman" w:hAnsi="Times New Roman" w:cs="Times New Roman"/>
          <w:sz w:val="24"/>
          <w:szCs w:val="24"/>
        </w:rPr>
        <w:lastRenderedPageBreak/>
        <w:t xml:space="preserve">potential selection biases which have raised concerns in previous studies that compared stewardship behaviors across access regimes using different samples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{"citationID":"ETUPMAdM","properties":{"formattedCitation":"(van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(van Putten et al. 2014)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Even though we cannot establish a causal link between formal CEARs and increased local stewardship our results suggest a role in shaping users’ incentives towards stewardship. Similar results from lab-in-the-field experiments support the broader idea that the institutions that people face in their daily activities shape their preferences for collective action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{"citationID":"uacMf1Xc","properties":{"formattedCitation":"(C\\uc0\\u225{}rdenas &amp; Ostrom 2004; Leibbrandt et al. 2013; Bouma &amp; Ansink 2013)","plainCitation":"(Cárdenas &amp; Ostrom 2004; Leibbrandt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 Leibbrandt et al. 2013; Bouma &amp; Ansink 2013)</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D490B86" w14:textId="0FFBC51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Differences in behaviors observed in our experiment are arguably influenced by the expectations and norms that different fishers hold under each access regime. For example, the levels of compliance observed in the first round suggest that the highest expectations about others’ compliance occurred in high-performance associations under a CEAR treatment. On expecting high compliance from other group members, these fishers started with high levels of compliance in accordance with common reciprocation principles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{"citationID":"B6OeZhBN","properties":{"formattedCitation":"(Fehr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expectations of high compliance are likely shaped by these fishers’ real-life experience harvesting loco under effective CEAR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{"citationID":"ZSmcF1gl","properties":{"formattedCitation":"(C\\uc0\\u225{}rdenas &amp; Ostrom 2004)","plainCitation":"(Cárdenas &amp; Ostrom 2004)","noteIndex":0},"citationItems":[{"id":179,"uris":["http://zotero.org/users/3065856/items/7IGMS47S"],"uri":["http://zotero.org/users/3065856/items/7IGMS47S"],"itemData":{"id":179,"type":"article-journal","abstract":"Experimental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However, compliance eroded in the non-enforced stage as fishers used feedback from the game to update their expectations about others’ behavior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{"citationID":"v0ZFWfhO","properties":{"formattedCitation":"(Fehr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Similar framing effects on expectations have been reported in the experimental economics literature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{"citationID":"GQaYXip0","properties":{"formattedCitation":"(Ellingsen et al. 2012)","plainCitation":"(Ellingsen et al. 2012)","noteIndex":0},"citationItems":[{"id":823,"uris":["http://zotero.org/users/3065856/items/NCQ5J7LS"],"uri":["http://zotero.org/users/3065856/items/NCQ5J7LS"],"itemData":{"id":823,"type":"article-journal","abstract":"In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(Ellingsen et al. 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64C11A2" w14:textId="19C7315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Despite being at odds with standard self-interested theories of behavior, several fishers incurred in peer-enforcement, as it is commonly observed in social dilemmas such as CPRs games</w:t>
      </w:r>
      <w:r w:rsidR="0036787B">
        <w:rPr>
          <w:rFonts w:ascii="Times New Roman" w:hAnsi="Times New Roman" w:cs="Times New Roman"/>
          <w:sz w:val="24"/>
          <w:szCs w:val="24"/>
        </w:rPr>
        <w:t xml:space="preserv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{"citationID":"pzddcfyW","properties":{"formattedCitation":"(Yamagishi 1986; Fehr &amp; Schurtenberger 2018)","plainCitation":"(Yamagishi 1986; Fehr &amp; Schurtenberger 2018)","noteIndex":0},"citationItems":[{"id":682,"uris":["http://zotero.org/users/3065856/items/DC834F2S"],"uri":["http://zotero.org/users/3065856/items/DC834F2S"],"itemData":{"id":682,"type":"article-journal","container-title":"J.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(Yamagishi 1986; 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Peer-enforcement did not affect mean levels of compliance for any of the associations under any of the treatments. This is probably due to subjects anticipating and observing a low probability of being sanctioned (less than 0.5) in every </w:t>
      </w:r>
      <w:r w:rsidRPr="000E7438">
        <w:rPr>
          <w:rFonts w:ascii="Times New Roman" w:hAnsi="Times New Roman" w:cs="Times New Roman"/>
          <w:sz w:val="24"/>
          <w:szCs w:val="24"/>
        </w:rPr>
        <w:lastRenderedPageBreak/>
        <w:t xml:space="preserve">treatment-association-type combination except subjects from high-performance associations playing under the CEAR treatment. In which case, a high probability of being sanctioned was key to avert the decline of compliance initially observed in the non-enforced stage. This result goes in line with multiple observations from the lab and the field that have underscored the role of peer-enforcement in sustaining collective action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{"citationID":"RteAOK4B","properties":{"formattedCitation":"(Ostrom 1990; Rustagi et al. 2010; Wright et al. 2016)","plainCitation":"(Ostrom 1990; Rustagi et al. 2010;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Rustagi et al. 2010; Wright et al. 2016)</w:t>
      </w:r>
      <w:r w:rsidR="0036787B">
        <w:rPr>
          <w:rFonts w:ascii="Times New Roman" w:hAnsi="Times New Roman" w:cs="Times New Roman"/>
          <w:sz w:val="24"/>
          <w:szCs w:val="24"/>
        </w:rPr>
        <w:fldChar w:fldCharType="end"/>
      </w:r>
      <w:r w:rsidR="0036787B">
        <w:rPr>
          <w:rFonts w:ascii="Times New Roman" w:hAnsi="Times New Roman" w:cs="Times New Roman"/>
          <w:sz w:val="24"/>
          <w:szCs w:val="24"/>
        </w:rPr>
        <w:t>.</w:t>
      </w:r>
    </w:p>
    <w:p w14:paraId="5F4D5ABA" w14:textId="4146927D"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It has been argued that people tend to engage in costly punishment when they perceived that social norms are being violated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{"citationID":"zXeyVT3r","properties":{"formattedCitation":"(Fehr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would suggest that the high levels of peer-enforcement observed for high-performance associations under the CEAR treatment reflect strong norms of cooperation which are expected under effective CEAR management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{"citationID":"HaiDGV7W","properties":{"formattedCitation":"(Ostrom 1990; Jentoft et al. 1998)","plainCitation":"(Ostrom 1990; Jentoft et al. 1998)","noteIndex":0},"citationItems":[{"id":353,"uris":["http://zotero.org/users/3065856/items/FT2WAZCE"],"uri":["http://zotero.org/users/3065856/items/FT2WAZCE"],"itemData":{"id":353,"type":"book","event-place":"Cambridge,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Jentoft et al. 1998)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is supported by the fact that the highest number of fishers that complied in every round was observed under the CEAR treatment for high-performance associations. Treatments did not differ in monetary incentives and strategic behavior cannot explain complete restraining from overharvesting. Thus, differences in the number of fishers that complied in every round are likely reflecting differences in non-monetary incentives across treatments. Indeed, recent evidence shows that non-monetary motivations predict low levels of quota compliance in the hake fishery in Chile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{"citationID":"AHLFGzcm","properties":{"formattedCitation":"(Oyanedel et al. 2020)","plainCitation":"(Oyanedel et al. 2020)","noteIndex":0},"citationItems":[{"id":688,"uris":["http://zotero.org/users/3065856/items/FED58SZ4"],"uri":["http://zotero.org/users/3065856/items/FED58SZ4"],"itemData":{"id":688,"type":"article-journal","container-title":"Conservation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(Oyanedel et al. 2020)</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Non-monetary incentives in social dilemmas are highly determined by social norms that are sensitive to framing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{"citationID":"pHxeSkOm","properties":{"formattedCitation":"(Krupka &amp; Weber 2013; Bouma &amp; Ansink 2013)","plainCitation":"(Krupka &amp; Weber 2013; Bouma &amp; Ansink 2013)","noteIndex":0},"citationItems":[{"id":521,"uris":["http://zotero.org/users/3065856/items/6GJK9N9N"],"uri":["http://zotero.org/users/3065856/items/6GJK9N9N"],"itemData":{"id":521,"type":"article-journal","abstract":"We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(Krupka &amp; Weber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359E7A8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framing effect that we attribute to the access regime represented in the game could be confounded by other differences between the fisheries used to frame the game. For example, differences in decisions between frames could be due to population dynamics or life-history traits of hake and loco. However, if only differences in resource characteristics were causing </w:t>
      </w:r>
      <w:r w:rsidRPr="000E7438">
        <w:rPr>
          <w:rFonts w:ascii="Times New Roman" w:hAnsi="Times New Roman" w:cs="Times New Roman"/>
          <w:sz w:val="24"/>
          <w:szCs w:val="24"/>
        </w:rPr>
        <w:lastRenderedPageBreak/>
        <w:t>changes in users’ behavior, we would have observed the same patterns in both association types. The fact that we observed differences between treatments only in associations that have shown signs of successful CEAR management in real life, indicates that access regimes play a role in explaining the differences observed between treatments.</w:t>
      </w:r>
    </w:p>
    <w:p w14:paraId="1BD012B2" w14:textId="248BB48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highlight that framing is a crucial design feature of lab-in-the-field experiments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{"citationID":"RkqXCZod","properties":{"formattedCitation":"(Alekseev et al. 2017)","plainCitation":"(Alekseev et al. 2017)","noteIndex":0},"citationItems":[{"id":677,"uris":["http://zotero.org/users/3065856/items/Z7V4QPJS"],"uri":["http://zotero.org/users/3065856/items/Z7V4QPJS"],"itemData":{"id":677,"type":"article-journal","abstract":"An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design.","container-title":"Journal of Economic Behavior &amp; Organization","DOI":"10.1016/j.jebo.2016.12.005","ISSN":"0167-2681","journalAbbreviation":"Journal of Economic Behavior &amp; Organization","page":"48-59","source":"ScienceDirect","title":"Experimental methods: When and why contextual instructions are important","title-short":"Experimental methods","volume":"134","author":[{"family":"Alekseev","given":"Aleksandr"},{"family":"Charness","given":"Gary"},{"family":"Gneezy","given":"Uri"}],"issued":{"date-parts":[["2017",2,1]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(Alekseev et al. 2017)</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Social norms are context-specific, and are unconsciously activated by situational cues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{"citationID":"ClwEQF7M","properties":{"formattedCitation":"(C\\uc0\\u225{}rdenas &amp; Ostrom 2004; Krupka &amp; Weber 2013; Gelcich et al. 2013; Bouma &amp; Ansink 2013)","plainCitation":"(Cárdenas &amp; Ostrom 2004; Krupka &amp; Weber 2013; Gelcich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szCs w:val="24"/>
        </w:rPr>
        <w:t>(Cárdenas &amp; Ostrom 2004; Krupka &amp; Weber 2013; Gelcich et al.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Framing increased subjects’ familiarity with the decision task and provided the situational cues for the norms that were in place under the different regimes. Therefore, its consideration allowed to design the experiment and interpret results. Our study also contributes to the literature supporting the external validity of lab-in-the-field experiments since performance under CEAR in real life correlated to stewardship behaviors displayed in the game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{"citationID":"9DA5F1FF","properties":{"formattedCitation":"(Rustagi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(Rustagi et al. 2010; Carpenter &amp; Seki 2011; Gelcich et al. 2013; Basurto et al. 2016)</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1869F53B" w14:textId="1FCC1E88"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implementation of formal CEARs is a promising approach to respond to the current call for a sustainable and equitable blue economy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{"citationID":"fBr3Kble","properties":{"formattedCitation":"(Bennett et al. 2019)","plainCitation":"(Bennett et al. 2019)","noteIndex":0},"citationItems":[{"id":680,"uris":["http://zotero.org/users/3065856/items/D23SDUF2"],"uri":["http://zotero.org/users/3065856/items/D23SDUF2"],"itemData":{"id":680,"type":"article-journal","container-title":"Nature Sustainability","page":"991-993","title":"Towards a sustainable and equitable blue economy","volume":"2","author":[{"family":"Bennett","given":"Nathan J."},{"family":"Cisneros-Montemayor","given":"A. M."},{"family":"Blythe","given":"J."},{"family":"Silver","given":"J. J."},{"family":"Singh","given":"G."},{"family":"Andrews","given":"N."},{"family":"Calò","given":"A."},{"family":"Christie","given":"P."},{"family":"Di Franco","given":"A."},{"family":"Finkbeiner","given":"E. M."},{"family":"Gelcich","given":"S."},{"family":"Guidetti","given":"P."},{"family":"Harper","given":"S."},{"family":"Hotte","given":"N."},{"family":"Kittinger","given":"J. N."},{"family":"Le Billon","given":"P."},{"family":"Lister","given":"J."},{"family":"López de la Lama","given":"R."},{"family":"McKinley","given":"E."},{"family":"Scholtens","given":"J."},{"family":"Solås","given":"A-M"},{"family":"Sowman","given":"M."},{"family":"Talloni-Álvarez","given":"N."},{"family":"Teh","given":"Lydia C L"},{"family":"Voyer","given":"M."},{"family":"Sumaila","given":"U. Rashid"}],"issued":{"date-parts":[["2019"]]}}}],"schema":"https://github.com/citation-style-language/schema/raw/master/csl-citation.json"}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(Bennett et al. 2019)</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Fishers in our study showed increased compliance and enforcement under CEAR. Yet, lab-in-the-field experiments also stress that formal CEARs do not guarantee intended behavioral change. Identifying further conditions that favor stewardship under formal CEAR is crucial to guide the design of access regimes that can promote the sustainable use of natural CPRs.</w:t>
      </w:r>
    </w:p>
    <w:p w14:paraId="1A80E087" w14:textId="77777777" w:rsidR="00E1629F" w:rsidRDefault="00E1629F" w:rsidP="00E1629F">
      <w:pPr>
        <w:spacing w:line="480" w:lineRule="auto"/>
        <w:rPr>
          <w:rFonts w:ascii="Times New Roman" w:hAnsi="Times New Roman" w:cs="Times New Roman"/>
          <w:b/>
          <w:bCs/>
          <w:sz w:val="24"/>
          <w:szCs w:val="24"/>
        </w:rPr>
      </w:pPr>
    </w:p>
    <w:p w14:paraId="70765968" w14:textId="77777777" w:rsidR="00E1629F" w:rsidRDefault="00E1629F" w:rsidP="00E1629F">
      <w:pPr>
        <w:spacing w:line="480" w:lineRule="auto"/>
        <w:rPr>
          <w:rFonts w:ascii="Times New Roman" w:hAnsi="Times New Roman" w:cs="Times New Roman"/>
          <w:b/>
          <w:bCs/>
          <w:sz w:val="24"/>
          <w:szCs w:val="24"/>
        </w:rPr>
      </w:pPr>
    </w:p>
    <w:p w14:paraId="4200E929" w14:textId="77777777" w:rsidR="00E1629F" w:rsidRDefault="00E1629F" w:rsidP="00E1629F">
      <w:pPr>
        <w:spacing w:line="480" w:lineRule="auto"/>
        <w:rPr>
          <w:rFonts w:ascii="Times New Roman" w:hAnsi="Times New Roman" w:cs="Times New Roman"/>
          <w:b/>
          <w:bCs/>
          <w:sz w:val="24"/>
          <w:szCs w:val="24"/>
        </w:rPr>
      </w:pPr>
    </w:p>
    <w:p w14:paraId="74BC104F" w14:textId="0750CE24" w:rsidR="00E1629F" w:rsidRPr="00E1629F" w:rsidRDefault="00E1629F" w:rsidP="00E1629F">
      <w:pPr>
        <w:spacing w:line="480" w:lineRule="auto"/>
        <w:rPr>
          <w:rFonts w:ascii="Times New Roman" w:hAnsi="Times New Roman" w:cs="Times New Roman"/>
          <w:b/>
          <w:bCs/>
          <w:sz w:val="24"/>
          <w:szCs w:val="24"/>
        </w:rPr>
      </w:pPr>
      <w:r w:rsidRPr="00E1629F">
        <w:rPr>
          <w:rFonts w:ascii="Times New Roman" w:hAnsi="Times New Roman" w:cs="Times New Roman"/>
          <w:b/>
          <w:bCs/>
          <w:sz w:val="24"/>
          <w:szCs w:val="24"/>
        </w:rPr>
        <w:lastRenderedPageBreak/>
        <w:t>Supporting Information</w:t>
      </w:r>
    </w:p>
    <w:p w14:paraId="27C3AD54" w14:textId="77777777" w:rsidR="00E1629F" w:rsidRDefault="00E1629F" w:rsidP="00E1629F">
      <w:pPr>
        <w:spacing w:line="480" w:lineRule="auto"/>
        <w:rPr>
          <w:rFonts w:ascii="Times New Roman" w:hAnsi="Times New Roman" w:cs="Times New Roman"/>
          <w:sz w:val="24"/>
          <w:szCs w:val="24"/>
        </w:rPr>
      </w:pPr>
      <w:r>
        <w:rPr>
          <w:rFonts w:ascii="Times New Roman" w:hAnsi="Times New Roman" w:cs="Times New Roman"/>
          <w:sz w:val="24"/>
          <w:szCs w:val="24"/>
        </w:rPr>
        <w:t>The supporting information document contains a more in detailed description of the c</w:t>
      </w:r>
      <w:r w:rsidRPr="00E1629F">
        <w:rPr>
          <w:rFonts w:ascii="Times New Roman" w:hAnsi="Times New Roman" w:cs="Times New Roman"/>
          <w:sz w:val="24"/>
          <w:szCs w:val="24"/>
        </w:rPr>
        <w:t>ategorization into high- and low-performance associations</w:t>
      </w:r>
      <w:r>
        <w:rPr>
          <w:rFonts w:ascii="Times New Roman" w:hAnsi="Times New Roman" w:cs="Times New Roman"/>
          <w:sz w:val="24"/>
          <w:szCs w:val="24"/>
        </w:rPr>
        <w:t>, the i</w:t>
      </w:r>
      <w:r w:rsidRPr="00E1629F">
        <w:rPr>
          <w:rFonts w:ascii="Times New Roman" w:hAnsi="Times New Roman" w:cs="Times New Roman"/>
          <w:sz w:val="24"/>
          <w:szCs w:val="24"/>
        </w:rPr>
        <w:t>nstructions of the common-pool resource game</w:t>
      </w:r>
      <w:r>
        <w:rPr>
          <w:rFonts w:ascii="Times New Roman" w:hAnsi="Times New Roman" w:cs="Times New Roman"/>
          <w:sz w:val="24"/>
          <w:szCs w:val="24"/>
        </w:rPr>
        <w:t xml:space="preserve">, and the following material: </w:t>
      </w:r>
    </w:p>
    <w:p w14:paraId="4084DC68" w14:textId="2F5D4242" w:rsidR="00E1629F" w:rsidRPr="00E1629F" w:rsidRDefault="00E1629F" w:rsidP="00E1629F">
      <w:pPr>
        <w:pStyle w:val="ListParagraph"/>
        <w:numPr>
          <w:ilvl w:val="0"/>
          <w:numId w:val="8"/>
        </w:numPr>
        <w:spacing w:line="480" w:lineRule="auto"/>
        <w:rPr>
          <w:sz w:val="24"/>
          <w:szCs w:val="24"/>
        </w:rPr>
      </w:pPr>
      <w:r w:rsidRPr="00E1629F">
        <w:rPr>
          <w:b/>
          <w:bCs/>
          <w:sz w:val="24"/>
          <w:szCs w:val="24"/>
        </w:rPr>
        <w:t>Fig. S1</w:t>
      </w:r>
      <w:r w:rsidRPr="00E1629F">
        <w:rPr>
          <w:sz w:val="24"/>
          <w:szCs w:val="24"/>
        </w:rPr>
        <w:t xml:space="preserve">. Location of sampled associations </w:t>
      </w:r>
    </w:p>
    <w:p w14:paraId="4B1C14E7" w14:textId="284C02DB"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S1</w:t>
      </w:r>
      <w:r w:rsidRPr="00E1629F">
        <w:rPr>
          <w:sz w:val="24"/>
          <w:szCs w:val="24"/>
        </w:rPr>
        <w:t>. Variables considered to assess association’s performance</w:t>
      </w:r>
    </w:p>
    <w:p w14:paraId="0CB316D6" w14:textId="7E17EFEF"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S2.</w:t>
      </w:r>
      <w:r w:rsidRPr="00E1629F">
        <w:rPr>
          <w:sz w:val="24"/>
          <w:szCs w:val="24"/>
        </w:rPr>
        <w:t xml:space="preserve"> Non-parametric comparisons of the individual percent of compliance </w:t>
      </w:r>
    </w:p>
    <w:p w14:paraId="03CB098E" w14:textId="386F2DE5"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S3.</w:t>
      </w:r>
      <w:r w:rsidRPr="00E1629F">
        <w:rPr>
          <w:sz w:val="24"/>
          <w:szCs w:val="24"/>
        </w:rPr>
        <w:t xml:space="preserve"> Results of OLS regression models on the group percent of compliance per round</w:t>
      </w:r>
    </w:p>
    <w:p w14:paraId="1F3A3C2B" w14:textId="6F52D864"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S4</w:t>
      </w:r>
      <w:r w:rsidRPr="00E1629F">
        <w:rPr>
          <w:sz w:val="24"/>
          <w:szCs w:val="24"/>
        </w:rPr>
        <w:t>. Non-parametric comparisons of the individual probability of reporting</w:t>
      </w:r>
    </w:p>
    <w:p w14:paraId="1822FE36" w14:textId="51D8FDF3"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S5</w:t>
      </w:r>
      <w:r w:rsidRPr="00E1629F">
        <w:rPr>
          <w:sz w:val="24"/>
          <w:szCs w:val="24"/>
        </w:rPr>
        <w:t>. Results of OLS regression models on the group probability of reporting per round</w:t>
      </w:r>
    </w:p>
    <w:p w14:paraId="117F2720" w14:textId="077E2F52"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S6</w:t>
      </w:r>
      <w:r w:rsidRPr="00E1629F">
        <w:rPr>
          <w:sz w:val="24"/>
          <w:szCs w:val="24"/>
        </w:rPr>
        <w:t>. Non-parametric comparisons of the individual percent of compliance within stages</w:t>
      </w:r>
    </w:p>
    <w:p w14:paraId="16D2E83E" w14:textId="77777777" w:rsidR="00E1629F" w:rsidRDefault="00E1629F" w:rsidP="000E7438">
      <w:pPr>
        <w:spacing w:line="480" w:lineRule="auto"/>
        <w:rPr>
          <w:rFonts w:ascii="Times New Roman" w:hAnsi="Times New Roman" w:cs="Times New Roman"/>
          <w:b/>
          <w:bCs/>
          <w:sz w:val="24"/>
          <w:szCs w:val="24"/>
        </w:rPr>
      </w:pPr>
    </w:p>
    <w:p w14:paraId="6E95A00F" w14:textId="77777777" w:rsidR="00E1629F" w:rsidRDefault="00E1629F" w:rsidP="000E7438">
      <w:pPr>
        <w:spacing w:line="480" w:lineRule="auto"/>
        <w:rPr>
          <w:rFonts w:ascii="Times New Roman" w:hAnsi="Times New Roman" w:cs="Times New Roman"/>
          <w:b/>
          <w:bCs/>
          <w:sz w:val="24"/>
          <w:szCs w:val="24"/>
        </w:rPr>
      </w:pPr>
    </w:p>
    <w:p w14:paraId="59ADA924" w14:textId="77777777" w:rsidR="00E1629F" w:rsidRDefault="00E1629F" w:rsidP="000E7438">
      <w:pPr>
        <w:spacing w:line="480" w:lineRule="auto"/>
        <w:rPr>
          <w:rFonts w:ascii="Times New Roman" w:hAnsi="Times New Roman" w:cs="Times New Roman"/>
          <w:b/>
          <w:bCs/>
          <w:sz w:val="24"/>
          <w:szCs w:val="24"/>
        </w:rPr>
      </w:pPr>
    </w:p>
    <w:p w14:paraId="5DB5ADF0" w14:textId="77777777" w:rsidR="00E1629F" w:rsidRDefault="00E1629F" w:rsidP="000E7438">
      <w:pPr>
        <w:spacing w:line="480" w:lineRule="auto"/>
        <w:rPr>
          <w:rFonts w:ascii="Times New Roman" w:hAnsi="Times New Roman" w:cs="Times New Roman"/>
          <w:b/>
          <w:bCs/>
          <w:sz w:val="24"/>
          <w:szCs w:val="24"/>
        </w:rPr>
      </w:pPr>
    </w:p>
    <w:p w14:paraId="01E8A353" w14:textId="77777777" w:rsidR="00E1629F" w:rsidRDefault="00E1629F" w:rsidP="000E7438">
      <w:pPr>
        <w:spacing w:line="480" w:lineRule="auto"/>
        <w:rPr>
          <w:rFonts w:ascii="Times New Roman" w:hAnsi="Times New Roman" w:cs="Times New Roman"/>
          <w:b/>
          <w:bCs/>
          <w:sz w:val="24"/>
          <w:szCs w:val="24"/>
        </w:rPr>
      </w:pPr>
    </w:p>
    <w:p w14:paraId="08F980E0" w14:textId="77777777" w:rsidR="00E1629F" w:rsidRDefault="00E1629F" w:rsidP="000E7438">
      <w:pPr>
        <w:spacing w:line="480" w:lineRule="auto"/>
        <w:rPr>
          <w:rFonts w:ascii="Times New Roman" w:hAnsi="Times New Roman" w:cs="Times New Roman"/>
          <w:b/>
          <w:bCs/>
          <w:sz w:val="24"/>
          <w:szCs w:val="24"/>
        </w:rPr>
      </w:pPr>
    </w:p>
    <w:p w14:paraId="1AFAB408" w14:textId="77777777" w:rsidR="00E1629F" w:rsidRDefault="00E1629F" w:rsidP="000E7438">
      <w:pPr>
        <w:spacing w:line="480" w:lineRule="auto"/>
        <w:rPr>
          <w:rFonts w:ascii="Times New Roman" w:hAnsi="Times New Roman" w:cs="Times New Roman"/>
          <w:b/>
          <w:bCs/>
          <w:sz w:val="24"/>
          <w:szCs w:val="24"/>
        </w:rPr>
      </w:pPr>
    </w:p>
    <w:p w14:paraId="33F1A59C" w14:textId="66D1D58F" w:rsidR="000E7438" w:rsidRPr="00CC41F2" w:rsidRDefault="00E1629F" w:rsidP="000E743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w:t>
      </w:r>
      <w:r w:rsidR="0036787B">
        <w:rPr>
          <w:rFonts w:ascii="Times New Roman" w:hAnsi="Times New Roman" w:cs="Times New Roman"/>
          <w:b/>
          <w:bCs/>
          <w:sz w:val="24"/>
          <w:szCs w:val="24"/>
        </w:rPr>
        <w:t xml:space="preserve">iterature </w:t>
      </w:r>
      <w:r>
        <w:rPr>
          <w:rFonts w:ascii="Times New Roman" w:hAnsi="Times New Roman" w:cs="Times New Roman"/>
          <w:b/>
          <w:bCs/>
          <w:sz w:val="24"/>
          <w:szCs w:val="24"/>
        </w:rPr>
        <w:t>C</w:t>
      </w:r>
      <w:r w:rsidR="0036787B">
        <w:rPr>
          <w:rFonts w:ascii="Times New Roman" w:hAnsi="Times New Roman" w:cs="Times New Roman"/>
          <w:b/>
          <w:bCs/>
          <w:sz w:val="24"/>
          <w:szCs w:val="24"/>
        </w:rPr>
        <w:t>ited</w:t>
      </w:r>
    </w:p>
    <w:p w14:paraId="1A98BA8A" w14:textId="77777777" w:rsidR="001B19F2" w:rsidRPr="001B19F2" w:rsidRDefault="0036787B" w:rsidP="001B19F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B19F2" w:rsidRPr="001B19F2">
        <w:rPr>
          <w:rFonts w:ascii="Times New Roman" w:hAnsi="Times New Roman" w:cs="Times New Roman"/>
          <w:sz w:val="24"/>
        </w:rPr>
        <w:t xml:space="preserve">Alekseev A, Charness G, Gneezy U. 2017. Experimental methods: When and why contextual instructions are important. Journal of Economic Behavior &amp; Organization </w:t>
      </w:r>
      <w:r w:rsidR="001B19F2" w:rsidRPr="001B19F2">
        <w:rPr>
          <w:rFonts w:ascii="Times New Roman" w:hAnsi="Times New Roman" w:cs="Times New Roman"/>
          <w:b/>
          <w:bCs/>
          <w:sz w:val="24"/>
        </w:rPr>
        <w:t>134</w:t>
      </w:r>
      <w:r w:rsidR="001B19F2" w:rsidRPr="001B19F2">
        <w:rPr>
          <w:rFonts w:ascii="Times New Roman" w:hAnsi="Times New Roman" w:cs="Times New Roman"/>
          <w:sz w:val="24"/>
        </w:rPr>
        <w:t>:48–59.</w:t>
      </w:r>
    </w:p>
    <w:p w14:paraId="70390B95"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Basurto X, Blanco E, Nenadovic M, Vollan B. 2016. </w:t>
      </w:r>
      <w:r w:rsidRPr="001B19F2">
        <w:rPr>
          <w:rFonts w:ascii="Times New Roman" w:hAnsi="Times New Roman" w:cs="Times New Roman"/>
          <w:sz w:val="24"/>
        </w:rPr>
        <w:t xml:space="preserve">Integrating simultaneous prosocial and antisocial behavior into theories of collective action. Science Advances </w:t>
      </w:r>
      <w:r w:rsidRPr="001B19F2">
        <w:rPr>
          <w:rFonts w:ascii="Times New Roman" w:hAnsi="Times New Roman" w:cs="Times New Roman"/>
          <w:b/>
          <w:bCs/>
          <w:sz w:val="24"/>
        </w:rPr>
        <w:t>2</w:t>
      </w:r>
      <w:r w:rsidRPr="001B19F2">
        <w:rPr>
          <w:rFonts w:ascii="Times New Roman" w:hAnsi="Times New Roman" w:cs="Times New Roman"/>
          <w:sz w:val="24"/>
        </w:rPr>
        <w:t>:e1501220.</w:t>
      </w:r>
    </w:p>
    <w:p w14:paraId="577E4FF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Bennett NJ et al. 2019. Towards a sustainable and equitable blue economy. Nature Sustainability </w:t>
      </w:r>
      <w:r w:rsidRPr="001B19F2">
        <w:rPr>
          <w:rFonts w:ascii="Times New Roman" w:hAnsi="Times New Roman" w:cs="Times New Roman"/>
          <w:b/>
          <w:bCs/>
          <w:sz w:val="24"/>
        </w:rPr>
        <w:t>2</w:t>
      </w:r>
      <w:r w:rsidRPr="001B19F2">
        <w:rPr>
          <w:rFonts w:ascii="Times New Roman" w:hAnsi="Times New Roman" w:cs="Times New Roman"/>
          <w:sz w:val="24"/>
        </w:rPr>
        <w:t>:991–993.</w:t>
      </w:r>
    </w:p>
    <w:p w14:paraId="23CE5B8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Bennett NJ, Whitty TS, Finkbeiner E, Pittman J, Bassett H, Gelcich S, Allison EH. 2018. Environmental Stewardship: A Conceptual Review and Analytical Framework. Environmental Management:1–18.</w:t>
      </w:r>
    </w:p>
    <w:p w14:paraId="3E99DE4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Bergseth BJ, Russ GR, Cinner JE. 2015. Measuring and monitoring compliance in no‐take marine reserves. Fish and fisheries </w:t>
      </w:r>
      <w:r w:rsidRPr="001B19F2">
        <w:rPr>
          <w:rFonts w:ascii="Times New Roman" w:hAnsi="Times New Roman" w:cs="Times New Roman"/>
          <w:b/>
          <w:bCs/>
          <w:sz w:val="24"/>
        </w:rPr>
        <w:t>16</w:t>
      </w:r>
      <w:r w:rsidRPr="001B19F2">
        <w:rPr>
          <w:rFonts w:ascii="Times New Roman" w:hAnsi="Times New Roman" w:cs="Times New Roman"/>
          <w:sz w:val="24"/>
        </w:rPr>
        <w:t>:240–258.</w:t>
      </w:r>
    </w:p>
    <w:p w14:paraId="2FF0FEE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Bouma J, Ansink E. 2013. The role of legitimacy perceptions in self-restricted resource use: A framed field experiment. Forest Policy and Economics </w:t>
      </w:r>
      <w:r w:rsidRPr="001B19F2">
        <w:rPr>
          <w:rFonts w:ascii="Times New Roman" w:hAnsi="Times New Roman" w:cs="Times New Roman"/>
          <w:b/>
          <w:bCs/>
          <w:sz w:val="24"/>
        </w:rPr>
        <w:t>37</w:t>
      </w:r>
      <w:r w:rsidRPr="001B19F2">
        <w:rPr>
          <w:rFonts w:ascii="Times New Roman" w:hAnsi="Times New Roman" w:cs="Times New Roman"/>
          <w:sz w:val="24"/>
        </w:rPr>
        <w:t>:84–93.</w:t>
      </w:r>
    </w:p>
    <w:p w14:paraId="4B704EE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Cardenas JC. 2011. Social Norms and Behavior in the Local Commons as Seen Through the Lens of Field Experiments. Environmental and Resource Economics </w:t>
      </w:r>
      <w:r w:rsidRPr="001B19F2">
        <w:rPr>
          <w:rFonts w:ascii="Times New Roman" w:hAnsi="Times New Roman" w:cs="Times New Roman"/>
          <w:b/>
          <w:bCs/>
          <w:sz w:val="24"/>
        </w:rPr>
        <w:t>48</w:t>
      </w:r>
      <w:r w:rsidRPr="001B19F2">
        <w:rPr>
          <w:rFonts w:ascii="Times New Roman" w:hAnsi="Times New Roman" w:cs="Times New Roman"/>
          <w:sz w:val="24"/>
        </w:rPr>
        <w:t>:451–485.</w:t>
      </w:r>
    </w:p>
    <w:p w14:paraId="2E8F72A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Cárdenas J-C, Ostrom E. 2004. What do people bring into the game? Experiments in the field about cooperation in the commons. Agricultural Systems </w:t>
      </w:r>
      <w:r w:rsidRPr="001B19F2">
        <w:rPr>
          <w:rFonts w:ascii="Times New Roman" w:hAnsi="Times New Roman" w:cs="Times New Roman"/>
          <w:b/>
          <w:bCs/>
          <w:sz w:val="24"/>
        </w:rPr>
        <w:t>82</w:t>
      </w:r>
      <w:r w:rsidRPr="001B19F2">
        <w:rPr>
          <w:rFonts w:ascii="Times New Roman" w:hAnsi="Times New Roman" w:cs="Times New Roman"/>
          <w:sz w:val="24"/>
        </w:rPr>
        <w:t>:307–326.</w:t>
      </w:r>
    </w:p>
    <w:p w14:paraId="502DFA6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Carpenter J, Seki E. 2011. Do Social Preferences Increase Productivity? Field Experimental Evidence from Fishermen in Toyama Bay. Economic Inquiry </w:t>
      </w:r>
      <w:r w:rsidRPr="001B19F2">
        <w:rPr>
          <w:rFonts w:ascii="Times New Roman" w:hAnsi="Times New Roman" w:cs="Times New Roman"/>
          <w:b/>
          <w:bCs/>
          <w:sz w:val="24"/>
        </w:rPr>
        <w:t>49</w:t>
      </w:r>
      <w:r w:rsidRPr="001B19F2">
        <w:rPr>
          <w:rFonts w:ascii="Times New Roman" w:hAnsi="Times New Roman" w:cs="Times New Roman"/>
          <w:sz w:val="24"/>
        </w:rPr>
        <w:t>:612–630.</w:t>
      </w:r>
    </w:p>
    <w:p w14:paraId="0EEC592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Costello C, Ovando D, Hilborn R, Gaines SD, Deschenes O, Lester SE. 2012. </w:t>
      </w:r>
      <w:r w:rsidRPr="001B19F2">
        <w:rPr>
          <w:rFonts w:ascii="Times New Roman" w:hAnsi="Times New Roman" w:cs="Times New Roman"/>
          <w:sz w:val="24"/>
        </w:rPr>
        <w:t xml:space="preserve">Status and solutions for the world’s unassessed fisheries. Science </w:t>
      </w:r>
      <w:r w:rsidRPr="001B19F2">
        <w:rPr>
          <w:rFonts w:ascii="Times New Roman" w:hAnsi="Times New Roman" w:cs="Times New Roman"/>
          <w:b/>
          <w:bCs/>
          <w:sz w:val="24"/>
        </w:rPr>
        <w:t>338</w:t>
      </w:r>
      <w:r w:rsidRPr="001B19F2">
        <w:rPr>
          <w:rFonts w:ascii="Times New Roman" w:hAnsi="Times New Roman" w:cs="Times New Roman"/>
          <w:sz w:val="24"/>
        </w:rPr>
        <w:t>:517–520.</w:t>
      </w:r>
    </w:p>
    <w:p w14:paraId="1C24D9D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Donlan CJ, Wilcox C, Luque GM, Gelcich S. 2020. Estimating illegal fishing from enforcement officers. Scientific reports </w:t>
      </w:r>
      <w:r w:rsidRPr="001B19F2">
        <w:rPr>
          <w:rFonts w:ascii="Times New Roman" w:hAnsi="Times New Roman" w:cs="Times New Roman"/>
          <w:b/>
          <w:bCs/>
          <w:sz w:val="24"/>
        </w:rPr>
        <w:t>10</w:t>
      </w:r>
      <w:r w:rsidRPr="001B19F2">
        <w:rPr>
          <w:rFonts w:ascii="Times New Roman" w:hAnsi="Times New Roman" w:cs="Times New Roman"/>
          <w:sz w:val="24"/>
        </w:rPr>
        <w:t>:1–9.</w:t>
      </w:r>
    </w:p>
    <w:p w14:paraId="4CC5576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Ellingsen T, Johannesson M, Mollerstrom J, Munkhammar S. 2012. Social framing effects: Preferences or beliefs? Games and Economic Behavior </w:t>
      </w:r>
      <w:r w:rsidRPr="001B19F2">
        <w:rPr>
          <w:rFonts w:ascii="Times New Roman" w:hAnsi="Times New Roman" w:cs="Times New Roman"/>
          <w:b/>
          <w:bCs/>
          <w:sz w:val="24"/>
        </w:rPr>
        <w:t>76</w:t>
      </w:r>
      <w:r w:rsidRPr="001B19F2">
        <w:rPr>
          <w:rFonts w:ascii="Times New Roman" w:hAnsi="Times New Roman" w:cs="Times New Roman"/>
          <w:sz w:val="24"/>
        </w:rPr>
        <w:t>:117–130.</w:t>
      </w:r>
    </w:p>
    <w:p w14:paraId="49B61B6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Fehr E, Schurtenberger I. 2018. Normative foundations of human cooperation. Nature Human Behaviour </w:t>
      </w:r>
      <w:r w:rsidRPr="001B19F2">
        <w:rPr>
          <w:rFonts w:ascii="Times New Roman" w:hAnsi="Times New Roman" w:cs="Times New Roman"/>
          <w:b/>
          <w:bCs/>
          <w:sz w:val="24"/>
        </w:rPr>
        <w:t>2</w:t>
      </w:r>
      <w:r w:rsidRPr="001B19F2">
        <w:rPr>
          <w:rFonts w:ascii="Times New Roman" w:hAnsi="Times New Roman" w:cs="Times New Roman"/>
          <w:sz w:val="24"/>
        </w:rPr>
        <w:t>:458–468.</w:t>
      </w:r>
    </w:p>
    <w:p w14:paraId="6A45045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Fischbacher U. 2007. z-Tree: Zurich toolbox for ready-made economic experiments. Experimental Economics </w:t>
      </w:r>
      <w:r w:rsidRPr="001B19F2">
        <w:rPr>
          <w:rFonts w:ascii="Times New Roman" w:hAnsi="Times New Roman" w:cs="Times New Roman"/>
          <w:b/>
          <w:bCs/>
          <w:sz w:val="24"/>
        </w:rPr>
        <w:t>10</w:t>
      </w:r>
      <w:r w:rsidRPr="001B19F2">
        <w:rPr>
          <w:rFonts w:ascii="Times New Roman" w:hAnsi="Times New Roman" w:cs="Times New Roman"/>
          <w:sz w:val="24"/>
        </w:rPr>
        <w:t>:171–178.</w:t>
      </w:r>
    </w:p>
    <w:p w14:paraId="74C589D3"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Gavin MC, Solomon JN, Blank SG. 2010. Measuring and monitoring illegal use of natural resources. Conservation Biology </w:t>
      </w:r>
      <w:r w:rsidRPr="001B19F2">
        <w:rPr>
          <w:rFonts w:ascii="Times New Roman" w:hAnsi="Times New Roman" w:cs="Times New Roman"/>
          <w:b/>
          <w:bCs/>
          <w:sz w:val="24"/>
        </w:rPr>
        <w:t>24</w:t>
      </w:r>
      <w:r w:rsidRPr="001B19F2">
        <w:rPr>
          <w:rFonts w:ascii="Times New Roman" w:hAnsi="Times New Roman" w:cs="Times New Roman"/>
          <w:sz w:val="24"/>
        </w:rPr>
        <w:t>:89–100.</w:t>
      </w:r>
    </w:p>
    <w:p w14:paraId="5945514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et al. 2010. Navigating transformations in governance of Chilean marine coastal resources. Proceedings of the National Academy of Sciences </w:t>
      </w:r>
      <w:r w:rsidRPr="001B19F2">
        <w:rPr>
          <w:rFonts w:ascii="Times New Roman" w:hAnsi="Times New Roman" w:cs="Times New Roman"/>
          <w:b/>
          <w:bCs/>
          <w:sz w:val="24"/>
        </w:rPr>
        <w:t>107</w:t>
      </w:r>
      <w:r w:rsidRPr="001B19F2">
        <w:rPr>
          <w:rFonts w:ascii="Times New Roman" w:hAnsi="Times New Roman" w:cs="Times New Roman"/>
          <w:sz w:val="24"/>
        </w:rPr>
        <w:t>:16794–16799.</w:t>
      </w:r>
    </w:p>
    <w:p w14:paraId="534BBA61"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Gelcich S, Cinner J, Donlan C, Tapia-Lewin S, Godoy N, Castilla J. 2017. Fishers’ perceptions on the Chilean coastal TURF system after two decades: problems, benefits, and emerging needs. Bulletin of Marine Science </w:t>
      </w:r>
      <w:r w:rsidRPr="001B19F2">
        <w:rPr>
          <w:rFonts w:ascii="Times New Roman" w:hAnsi="Times New Roman" w:cs="Times New Roman"/>
          <w:b/>
          <w:bCs/>
          <w:sz w:val="24"/>
        </w:rPr>
        <w:t>93</w:t>
      </w:r>
      <w:r w:rsidRPr="001B19F2">
        <w:rPr>
          <w:rFonts w:ascii="Times New Roman" w:hAnsi="Times New Roman" w:cs="Times New Roman"/>
          <w:sz w:val="24"/>
        </w:rPr>
        <w:t>:53–67.</w:t>
      </w:r>
    </w:p>
    <w:p w14:paraId="1B39EDD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Edwards-Jones G, Kaiser MJ, Castilla JC. 2006. Co-management Policy Can Reduce Resilience in Traditionally Managed Marine Ecosystems. Ecosystems </w:t>
      </w:r>
      <w:r w:rsidRPr="001B19F2">
        <w:rPr>
          <w:rFonts w:ascii="Times New Roman" w:hAnsi="Times New Roman" w:cs="Times New Roman"/>
          <w:b/>
          <w:bCs/>
          <w:sz w:val="24"/>
        </w:rPr>
        <w:t>9</w:t>
      </w:r>
      <w:r w:rsidRPr="001B19F2">
        <w:rPr>
          <w:rFonts w:ascii="Times New Roman" w:hAnsi="Times New Roman" w:cs="Times New Roman"/>
          <w:sz w:val="24"/>
        </w:rPr>
        <w:t>:951–966.</w:t>
      </w:r>
    </w:p>
    <w:p w14:paraId="1864FE7C"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Guzman R, Rodríguez-Sickert C, Castilla JC, Cárdenas JC. 2013. Exploring External Validity of Common Pool Resource Experiments: Insights from Artisanal Benthic Fisheries in Chile. Ecology and Society </w:t>
      </w:r>
      <w:r w:rsidRPr="001B19F2">
        <w:rPr>
          <w:rFonts w:ascii="Times New Roman" w:hAnsi="Times New Roman" w:cs="Times New Roman"/>
          <w:b/>
          <w:bCs/>
          <w:sz w:val="24"/>
        </w:rPr>
        <w:t>18</w:t>
      </w:r>
      <w:r w:rsidRPr="001B19F2">
        <w:rPr>
          <w:rFonts w:ascii="Times New Roman" w:hAnsi="Times New Roman" w:cs="Times New Roman"/>
          <w:sz w:val="24"/>
        </w:rPr>
        <w:t>. Available from https://www.ecologyandsociety.org/vol18/iss3/art2/ (accessed May 15, 2017).</w:t>
      </w:r>
    </w:p>
    <w:p w14:paraId="75839E2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Martínez‐Harms MJ, Tapia‐Lewin S, Vasquez‐Lavin F, Ruano‐Chamorro C. 2019. Comanagement of small‐scale fisheries and ecosystem services. Conservation Letters </w:t>
      </w:r>
      <w:r w:rsidRPr="001B19F2">
        <w:rPr>
          <w:rFonts w:ascii="Times New Roman" w:hAnsi="Times New Roman" w:cs="Times New Roman"/>
          <w:b/>
          <w:bCs/>
          <w:sz w:val="24"/>
        </w:rPr>
        <w:t>12</w:t>
      </w:r>
      <w:r w:rsidRPr="001B19F2">
        <w:rPr>
          <w:rFonts w:ascii="Times New Roman" w:hAnsi="Times New Roman" w:cs="Times New Roman"/>
          <w:sz w:val="24"/>
        </w:rPr>
        <w:t>:e12637.</w:t>
      </w:r>
    </w:p>
    <w:p w14:paraId="5558415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Gilmour PW, Day RW, Dwyer PD. 2012. Using Private Rights to Manage Natural Resources: Is Stewardship Linked to Ownership? Ecology and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http://www.jstor.org/stable/26269059 (accessed July 23, 2018).</w:t>
      </w:r>
    </w:p>
    <w:p w14:paraId="35CED54F"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Jentoft S, McCay BJ, Wilson DC. 1998. Social theory and fisheries co-management. Marine Policy </w:t>
      </w:r>
      <w:r w:rsidRPr="001B19F2">
        <w:rPr>
          <w:rFonts w:ascii="Times New Roman" w:hAnsi="Times New Roman" w:cs="Times New Roman"/>
          <w:b/>
          <w:bCs/>
          <w:sz w:val="24"/>
        </w:rPr>
        <w:t>22</w:t>
      </w:r>
      <w:r w:rsidRPr="001B19F2">
        <w:rPr>
          <w:rFonts w:ascii="Times New Roman" w:hAnsi="Times New Roman" w:cs="Times New Roman"/>
          <w:sz w:val="24"/>
        </w:rPr>
        <w:t>:423–436.</w:t>
      </w:r>
    </w:p>
    <w:p w14:paraId="5ADA0E7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Krupka EL, Weber RA. 2013. Identifying Social Norms Using Coordination Games: Why Does Dictator Game Sharing Vary? Journal of the European Economic Association </w:t>
      </w:r>
      <w:r w:rsidRPr="001B19F2">
        <w:rPr>
          <w:rFonts w:ascii="Times New Roman" w:hAnsi="Times New Roman" w:cs="Times New Roman"/>
          <w:b/>
          <w:bCs/>
          <w:sz w:val="24"/>
        </w:rPr>
        <w:t>11</w:t>
      </w:r>
      <w:r w:rsidRPr="001B19F2">
        <w:rPr>
          <w:rFonts w:ascii="Times New Roman" w:hAnsi="Times New Roman" w:cs="Times New Roman"/>
          <w:sz w:val="24"/>
        </w:rPr>
        <w:t>:495–524.</w:t>
      </w:r>
    </w:p>
    <w:p w14:paraId="7A69D21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Leibbrandt A, Gneezy U, List JA. 2013. Rise and fall of competitiveness in individualistic and collectivistic societies. Proceedings of the National Academy of Sciences </w:t>
      </w:r>
      <w:r w:rsidRPr="001B19F2">
        <w:rPr>
          <w:rFonts w:ascii="Times New Roman" w:hAnsi="Times New Roman" w:cs="Times New Roman"/>
          <w:b/>
          <w:bCs/>
          <w:sz w:val="24"/>
        </w:rPr>
        <w:t>110</w:t>
      </w:r>
      <w:r w:rsidRPr="001B19F2">
        <w:rPr>
          <w:rFonts w:ascii="Times New Roman" w:hAnsi="Times New Roman" w:cs="Times New Roman"/>
          <w:sz w:val="24"/>
        </w:rPr>
        <w:t>:9305–9308.</w:t>
      </w:r>
    </w:p>
    <w:p w14:paraId="48AE3EB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Marín A, Gelcich S, Castilla JC, Berkes F. 2012. Exploring Social Capital in Chile&amp;apos;s Coastal Benthic Comanagement System Using a Network Approach. Ecology &amp;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http://www.diva-portal.org/smash/record.jsf?pid=diva2:552496 (accessed November 15, 2016).</w:t>
      </w:r>
    </w:p>
    <w:p w14:paraId="5FA88AF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McDonald G et al. 2020. Catalyzing sustainable fisheries management through behavior change interventions. Conservation Biology.</w:t>
      </w:r>
    </w:p>
    <w:p w14:paraId="5FE8A83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Nguyen Thi Quynh C, Schilizzi S, Hailu A, Iftekhar S. 2017. Territorial Use Rights for Fisheries (TURFs): State of the art and the road ahead. Marine Policy </w:t>
      </w:r>
      <w:r w:rsidRPr="001B19F2">
        <w:rPr>
          <w:rFonts w:ascii="Times New Roman" w:hAnsi="Times New Roman" w:cs="Times New Roman"/>
          <w:b/>
          <w:bCs/>
          <w:sz w:val="24"/>
        </w:rPr>
        <w:t>75</w:t>
      </w:r>
      <w:r w:rsidRPr="001B19F2">
        <w:rPr>
          <w:rFonts w:ascii="Times New Roman" w:hAnsi="Times New Roman" w:cs="Times New Roman"/>
          <w:sz w:val="24"/>
        </w:rPr>
        <w:t>:41–52.</w:t>
      </w:r>
    </w:p>
    <w:p w14:paraId="7B8AD29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Ostrom E. 1990. Governing the commons: the evolution of institutions for collective action. Cambridge University Press, Cambridge, UK.</w:t>
      </w:r>
    </w:p>
    <w:p w14:paraId="17BE186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Ostrom E. 2006. The value-added of laboratory experiments for the study of institutions and common-pool resources. Journal of Economic Behavior &amp; Organization </w:t>
      </w:r>
      <w:r w:rsidRPr="001B19F2">
        <w:rPr>
          <w:rFonts w:ascii="Times New Roman" w:hAnsi="Times New Roman" w:cs="Times New Roman"/>
          <w:b/>
          <w:bCs/>
          <w:sz w:val="24"/>
        </w:rPr>
        <w:t>61</w:t>
      </w:r>
      <w:r w:rsidRPr="001B19F2">
        <w:rPr>
          <w:rFonts w:ascii="Times New Roman" w:hAnsi="Times New Roman" w:cs="Times New Roman"/>
          <w:sz w:val="24"/>
        </w:rPr>
        <w:t>:149–163.</w:t>
      </w:r>
    </w:p>
    <w:p w14:paraId="72BA81E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Oyanedel R, Gelcich S, Milner‐Gulland EJ. 2020. Motivations for (non‐) compliance with conservation rules by small‐scale resource users. Conservation Letters:e12725.</w:t>
      </w:r>
    </w:p>
    <w:p w14:paraId="78156E8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Plotnek E, Paredes F, Galvez M, Pérez-Ramírez M. 2016. From unsustainability to MSC certification: A case study of the artisanal Chilean South Pacific hake fishery. Reviews in Fisheries Science &amp; Aquaculture </w:t>
      </w:r>
      <w:r w:rsidRPr="001B19F2">
        <w:rPr>
          <w:rFonts w:ascii="Times New Roman" w:hAnsi="Times New Roman" w:cs="Times New Roman"/>
          <w:b/>
          <w:bCs/>
          <w:sz w:val="24"/>
        </w:rPr>
        <w:t>24</w:t>
      </w:r>
      <w:r w:rsidRPr="001B19F2">
        <w:rPr>
          <w:rFonts w:ascii="Times New Roman" w:hAnsi="Times New Roman" w:cs="Times New Roman"/>
          <w:sz w:val="24"/>
        </w:rPr>
        <w:t>:230–243.</w:t>
      </w:r>
    </w:p>
    <w:p w14:paraId="693D15B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Rustagi D, Engel S, Kosfeld M. 2010. Conditional Cooperation and Costly Monitoring Explain Success in Forest Commons Management. Science </w:t>
      </w:r>
      <w:r w:rsidRPr="001B19F2">
        <w:rPr>
          <w:rFonts w:ascii="Times New Roman" w:hAnsi="Times New Roman" w:cs="Times New Roman"/>
          <w:b/>
          <w:bCs/>
          <w:sz w:val="24"/>
        </w:rPr>
        <w:t>330</w:t>
      </w:r>
      <w:r w:rsidRPr="001B19F2">
        <w:rPr>
          <w:rFonts w:ascii="Times New Roman" w:hAnsi="Times New Roman" w:cs="Times New Roman"/>
          <w:sz w:val="24"/>
        </w:rPr>
        <w:t>:961–965.</w:t>
      </w:r>
    </w:p>
    <w:p w14:paraId="6776F90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Schlager E, Ostrom E. 1992. Property-Rights Regimes and Natural Resources: A Conceptual Analysis. Land Economics </w:t>
      </w:r>
      <w:r w:rsidRPr="001B19F2">
        <w:rPr>
          <w:rFonts w:ascii="Times New Roman" w:hAnsi="Times New Roman" w:cs="Times New Roman"/>
          <w:b/>
          <w:bCs/>
          <w:sz w:val="24"/>
        </w:rPr>
        <w:t>68</w:t>
      </w:r>
      <w:r w:rsidRPr="001B19F2">
        <w:rPr>
          <w:rFonts w:ascii="Times New Roman" w:hAnsi="Times New Roman" w:cs="Times New Roman"/>
          <w:sz w:val="24"/>
        </w:rPr>
        <w:t>:249–262.</w:t>
      </w:r>
    </w:p>
    <w:p w14:paraId="5A3B67F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Schroeder NM, Castillo A. 2013. Collective action in the management of a tropical dry forest ecosystem: Effects of Mexico’s property rights regime. Environmental Management </w:t>
      </w:r>
      <w:r w:rsidRPr="001B19F2">
        <w:rPr>
          <w:rFonts w:ascii="Times New Roman" w:hAnsi="Times New Roman" w:cs="Times New Roman"/>
          <w:b/>
          <w:bCs/>
          <w:sz w:val="24"/>
        </w:rPr>
        <w:t>51</w:t>
      </w:r>
      <w:r w:rsidRPr="001B19F2">
        <w:rPr>
          <w:rFonts w:ascii="Times New Roman" w:hAnsi="Times New Roman" w:cs="Times New Roman"/>
          <w:sz w:val="24"/>
        </w:rPr>
        <w:t>:850–861.</w:t>
      </w:r>
    </w:p>
    <w:p w14:paraId="340F547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Smith V. 1982. Microeconomic Systems as an Experimental Science. The American Economic Review </w:t>
      </w:r>
      <w:r w:rsidRPr="001B19F2">
        <w:rPr>
          <w:rFonts w:ascii="Times New Roman" w:hAnsi="Times New Roman" w:cs="Times New Roman"/>
          <w:b/>
          <w:bCs/>
          <w:sz w:val="24"/>
        </w:rPr>
        <w:t>72</w:t>
      </w:r>
      <w:r w:rsidRPr="001B19F2">
        <w:rPr>
          <w:rFonts w:ascii="Times New Roman" w:hAnsi="Times New Roman" w:cs="Times New Roman"/>
          <w:sz w:val="24"/>
        </w:rPr>
        <w:t>:923–955.</w:t>
      </w:r>
    </w:p>
    <w:p w14:paraId="4B27C00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Undargaa S, McCarthy JF. 2016. Beyond Property: Co-Management and Pastoral Resource Access in Mongolia. World Development </w:t>
      </w:r>
      <w:r w:rsidRPr="001B19F2">
        <w:rPr>
          <w:rFonts w:ascii="Times New Roman" w:hAnsi="Times New Roman" w:cs="Times New Roman"/>
          <w:b/>
          <w:bCs/>
          <w:sz w:val="24"/>
        </w:rPr>
        <w:t>77</w:t>
      </w:r>
      <w:r w:rsidRPr="001B19F2">
        <w:rPr>
          <w:rFonts w:ascii="Times New Roman" w:hAnsi="Times New Roman" w:cs="Times New Roman"/>
          <w:sz w:val="24"/>
        </w:rPr>
        <w:t>:367–379.</w:t>
      </w:r>
    </w:p>
    <w:p w14:paraId="4EFFB1BA"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van Putten I, Boschetti F, Fulton EA, Smith ADM, Thebaud O. 2014. Individual transferable quota contribution to environmental stewardship: a theory in need of validation. Ecology and Society </w:t>
      </w:r>
      <w:r w:rsidRPr="001B19F2">
        <w:rPr>
          <w:rFonts w:ascii="Times New Roman" w:hAnsi="Times New Roman" w:cs="Times New Roman"/>
          <w:b/>
          <w:bCs/>
          <w:sz w:val="24"/>
        </w:rPr>
        <w:t>19</w:t>
      </w:r>
      <w:r w:rsidRPr="001B19F2">
        <w:rPr>
          <w:rFonts w:ascii="Times New Roman" w:hAnsi="Times New Roman" w:cs="Times New Roman"/>
          <w:sz w:val="24"/>
        </w:rPr>
        <w:t>. Available from http://www.jstor.org/stable/26269588 (accessed June 27, 2018).</w:t>
      </w:r>
    </w:p>
    <w:p w14:paraId="425201D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Wilen JE, Cancino J, Uchida H. 2012. </w:t>
      </w:r>
      <w:r w:rsidRPr="001B19F2">
        <w:rPr>
          <w:rFonts w:ascii="Times New Roman" w:hAnsi="Times New Roman" w:cs="Times New Roman"/>
          <w:sz w:val="24"/>
        </w:rPr>
        <w:t xml:space="preserve">The Economics of Territorial Use Rights Fisheries, or TURFs. Review of Environmental Economics and Policy </w:t>
      </w:r>
      <w:r w:rsidRPr="001B19F2">
        <w:rPr>
          <w:rFonts w:ascii="Times New Roman" w:hAnsi="Times New Roman" w:cs="Times New Roman"/>
          <w:b/>
          <w:bCs/>
          <w:sz w:val="24"/>
        </w:rPr>
        <w:t>6</w:t>
      </w:r>
      <w:r w:rsidRPr="001B19F2">
        <w:rPr>
          <w:rFonts w:ascii="Times New Roman" w:hAnsi="Times New Roman" w:cs="Times New Roman"/>
          <w:sz w:val="24"/>
        </w:rPr>
        <w:t>:237–257.</w:t>
      </w:r>
    </w:p>
    <w:p w14:paraId="5F1D63B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Wright GD, Andersson KP, Gibson CC, Evans TP. 2016. Decentralization can help reduce deforestation when user groups engage with local government. Proceedings of the National Academy of Sciences </w:t>
      </w:r>
      <w:r w:rsidRPr="001B19F2">
        <w:rPr>
          <w:rFonts w:ascii="Times New Roman" w:hAnsi="Times New Roman" w:cs="Times New Roman"/>
          <w:b/>
          <w:bCs/>
          <w:sz w:val="24"/>
        </w:rPr>
        <w:t>113</w:t>
      </w:r>
      <w:r w:rsidRPr="001B19F2">
        <w:rPr>
          <w:rFonts w:ascii="Times New Roman" w:hAnsi="Times New Roman" w:cs="Times New Roman"/>
          <w:sz w:val="24"/>
        </w:rPr>
        <w:t>:14958–14963.</w:t>
      </w:r>
    </w:p>
    <w:p w14:paraId="0586DEFD"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Yamagishi T. 1986. The provision of a sanctioning system as a public good. J. Pers. Soc. Psychol </w:t>
      </w:r>
      <w:r w:rsidRPr="001B19F2">
        <w:rPr>
          <w:rFonts w:ascii="Times New Roman" w:hAnsi="Times New Roman" w:cs="Times New Roman"/>
          <w:b/>
          <w:bCs/>
          <w:sz w:val="24"/>
        </w:rPr>
        <w:t>51</w:t>
      </w:r>
      <w:r w:rsidRPr="001B19F2">
        <w:rPr>
          <w:rFonts w:ascii="Times New Roman" w:hAnsi="Times New Roman" w:cs="Times New Roman"/>
          <w:sz w:val="24"/>
        </w:rPr>
        <w:t>:110–116.</w:t>
      </w:r>
    </w:p>
    <w:p w14:paraId="67315C04" w14:textId="44010EEB" w:rsidR="00382D08" w:rsidRDefault="0036787B" w:rsidP="00CC41F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1F0487F" w14:textId="10AF59D5" w:rsidR="00DD27A1" w:rsidRDefault="00DD27A1" w:rsidP="00CC41F2">
      <w:pPr>
        <w:spacing w:line="480" w:lineRule="auto"/>
        <w:rPr>
          <w:rFonts w:ascii="Times New Roman" w:hAnsi="Times New Roman" w:cs="Times New Roman"/>
          <w:sz w:val="24"/>
          <w:szCs w:val="24"/>
        </w:rPr>
      </w:pPr>
    </w:p>
    <w:p w14:paraId="3215F042" w14:textId="2170FF3E" w:rsidR="00DD27A1" w:rsidRDefault="00DD27A1" w:rsidP="00CC41F2">
      <w:pPr>
        <w:spacing w:line="480" w:lineRule="auto"/>
        <w:rPr>
          <w:rFonts w:ascii="Times New Roman" w:hAnsi="Times New Roman" w:cs="Times New Roman"/>
          <w:sz w:val="24"/>
          <w:szCs w:val="24"/>
        </w:rPr>
      </w:pPr>
    </w:p>
    <w:p w14:paraId="06FCC139" w14:textId="653D63C6" w:rsidR="00DD27A1" w:rsidRDefault="00DD27A1" w:rsidP="00CC41F2">
      <w:pPr>
        <w:spacing w:line="480" w:lineRule="auto"/>
        <w:rPr>
          <w:rFonts w:ascii="Times New Roman" w:hAnsi="Times New Roman" w:cs="Times New Roman"/>
          <w:sz w:val="24"/>
          <w:szCs w:val="24"/>
        </w:rPr>
      </w:pPr>
    </w:p>
    <w:p w14:paraId="7F2983A9" w14:textId="5AEA3939" w:rsidR="00DD27A1" w:rsidRDefault="00DD27A1" w:rsidP="00CC41F2">
      <w:pPr>
        <w:spacing w:line="480" w:lineRule="auto"/>
        <w:rPr>
          <w:rFonts w:ascii="Times New Roman" w:hAnsi="Times New Roman" w:cs="Times New Roman"/>
          <w:sz w:val="24"/>
          <w:szCs w:val="24"/>
        </w:rPr>
      </w:pPr>
    </w:p>
    <w:p w14:paraId="0F8D7C57" w14:textId="7B25D7EA" w:rsidR="00DD27A1" w:rsidRDefault="00DD27A1" w:rsidP="00CC41F2">
      <w:pPr>
        <w:spacing w:line="480" w:lineRule="auto"/>
        <w:rPr>
          <w:rFonts w:ascii="Times New Roman" w:hAnsi="Times New Roman" w:cs="Times New Roman"/>
          <w:sz w:val="24"/>
          <w:szCs w:val="24"/>
        </w:rPr>
      </w:pPr>
    </w:p>
    <w:p w14:paraId="75D913A1" w14:textId="513E06D5" w:rsidR="00DD27A1" w:rsidRPr="00DD27A1" w:rsidRDefault="00DD27A1" w:rsidP="00CC41F2">
      <w:pPr>
        <w:spacing w:line="480" w:lineRule="auto"/>
        <w:rPr>
          <w:rFonts w:ascii="Times New Roman" w:hAnsi="Times New Roman" w:cs="Times New Roman"/>
          <w:b/>
          <w:bCs/>
          <w:sz w:val="24"/>
          <w:szCs w:val="24"/>
        </w:rPr>
      </w:pPr>
      <w:r w:rsidRPr="00DD27A1">
        <w:rPr>
          <w:rFonts w:ascii="Times New Roman" w:hAnsi="Times New Roman" w:cs="Times New Roman"/>
          <w:b/>
          <w:bCs/>
          <w:sz w:val="24"/>
          <w:szCs w:val="24"/>
        </w:rPr>
        <w:lastRenderedPageBreak/>
        <w:t xml:space="preserve">Tables </w:t>
      </w:r>
    </w:p>
    <w:p w14:paraId="5398F77D" w14:textId="0A2133EC" w:rsidR="00DD27A1" w:rsidRDefault="00A50290" w:rsidP="00CC41F2">
      <w:pPr>
        <w:spacing w:line="480" w:lineRule="auto"/>
        <w:rPr>
          <w:rFonts w:ascii="Times New Roman" w:hAnsi="Times New Roman" w:cs="Times New Roman"/>
          <w:sz w:val="24"/>
          <w:szCs w:val="24"/>
        </w:rPr>
      </w:pPr>
      <w:r w:rsidRPr="00A50290">
        <w:rPr>
          <w:rFonts w:ascii="Times New Roman" w:hAnsi="Times New Roman" w:cs="Times New Roman"/>
          <w:b/>
          <w:bCs/>
          <w:sz w:val="24"/>
          <w:szCs w:val="24"/>
        </w:rPr>
        <w:t>Table 1</w:t>
      </w:r>
      <w:r>
        <w:rPr>
          <w:rFonts w:ascii="Times New Roman" w:hAnsi="Times New Roman" w:cs="Times New Roman"/>
          <w:sz w:val="24"/>
          <w:szCs w:val="24"/>
        </w:rPr>
        <w:t>. Experimental design</w:t>
      </w:r>
    </w:p>
    <w:tbl>
      <w:tblPr>
        <w:tblW w:w="10440" w:type="dxa"/>
        <w:tblInd w:w="-10" w:type="dxa"/>
        <w:tblCellMar>
          <w:left w:w="0" w:type="dxa"/>
          <w:right w:w="0" w:type="dxa"/>
        </w:tblCellMar>
        <w:tblLook w:val="0420" w:firstRow="1" w:lastRow="0" w:firstColumn="0" w:lastColumn="0" w:noHBand="0" w:noVBand="1"/>
      </w:tblPr>
      <w:tblGrid>
        <w:gridCol w:w="2884"/>
        <w:gridCol w:w="1976"/>
        <w:gridCol w:w="1800"/>
        <w:gridCol w:w="1980"/>
        <w:gridCol w:w="1800"/>
      </w:tblGrid>
      <w:tr w:rsidR="00A50290" w:rsidRPr="00A50290" w14:paraId="69342F79" w14:textId="77777777" w:rsidTr="00B6137A">
        <w:trPr>
          <w:trHeight w:val="1015"/>
        </w:trPr>
        <w:tc>
          <w:tcPr>
            <w:tcW w:w="2884" w:type="dxa"/>
            <w:vMerge w:val="restart"/>
            <w:tcBorders>
              <w:top w:val="single" w:sz="8" w:space="0" w:color="000000"/>
              <w:left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hideMark/>
          </w:tcPr>
          <w:p w14:paraId="7D61D6E0" w14:textId="77777777" w:rsidR="00A50290" w:rsidRPr="00A50290" w:rsidRDefault="00A50290" w:rsidP="009360C2">
            <w:pPr>
              <w:jc w:val="both"/>
              <w:rPr>
                <w:rFonts w:ascii="Times New Roman" w:hAnsi="Times New Roman" w:cs="Times New Roman"/>
                <w:b/>
                <w:bCs/>
                <w:sz w:val="20"/>
                <w:szCs w:val="20"/>
              </w:rPr>
            </w:pPr>
            <w:r w:rsidRPr="00A50290">
              <w:rPr>
                <w:rFonts w:ascii="Times New Roman" w:hAnsi="Times New Roman" w:cs="Times New Roman"/>
                <w:b/>
                <w:bCs/>
                <w:sz w:val="20"/>
                <w:szCs w:val="20"/>
              </w:rPr>
              <w:t xml:space="preserve">                   </w:t>
            </w:r>
            <w:bookmarkStart w:id="0" w:name="_Hlk12366513"/>
            <w:r w:rsidRPr="00A50290">
              <w:rPr>
                <w:rFonts w:ascii="Times New Roman" w:hAnsi="Times New Roman" w:cs="Times New Roman"/>
                <w:b/>
                <w:bCs/>
                <w:sz w:val="20"/>
                <w:szCs w:val="20"/>
              </w:rPr>
              <w:t xml:space="preserve">Treatment </w:t>
            </w:r>
          </w:p>
          <w:p w14:paraId="2D7D5892" w14:textId="77777777" w:rsidR="00A50290" w:rsidRPr="00A50290" w:rsidRDefault="00A50290" w:rsidP="009360C2">
            <w:pPr>
              <w:rPr>
                <w:rFonts w:ascii="Times New Roman" w:hAnsi="Times New Roman" w:cs="Times New Roman"/>
                <w:b/>
                <w:bCs/>
                <w:sz w:val="20"/>
                <w:szCs w:val="20"/>
              </w:rPr>
            </w:pPr>
          </w:p>
          <w:p w14:paraId="3CBBA2FE" w14:textId="77777777" w:rsidR="00A50290" w:rsidRPr="00A50290" w:rsidRDefault="00A50290" w:rsidP="009360C2">
            <w:pPr>
              <w:rPr>
                <w:rFonts w:ascii="Times New Roman" w:hAnsi="Times New Roman" w:cs="Times New Roman"/>
                <w:b/>
                <w:bCs/>
                <w:sz w:val="20"/>
                <w:szCs w:val="20"/>
              </w:rPr>
            </w:pPr>
          </w:p>
          <w:p w14:paraId="0568CED5" w14:textId="77777777" w:rsidR="00A50290" w:rsidRPr="00A50290" w:rsidRDefault="00A50290" w:rsidP="009360C2">
            <w:pPr>
              <w:rPr>
                <w:rFonts w:ascii="Times New Roman" w:hAnsi="Times New Roman" w:cs="Times New Roman"/>
                <w:b/>
                <w:bCs/>
                <w:sz w:val="20"/>
                <w:szCs w:val="20"/>
              </w:rPr>
            </w:pPr>
            <w:r w:rsidRPr="00A50290">
              <w:rPr>
                <w:rFonts w:ascii="Times New Roman" w:hAnsi="Times New Roman" w:cs="Times New Roman"/>
                <w:b/>
                <w:bCs/>
                <w:sz w:val="20"/>
                <w:szCs w:val="20"/>
              </w:rPr>
              <w:t>Association type</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D36BB7" w14:textId="6A12ABDE" w:rsidR="00A50290" w:rsidRPr="00A50290" w:rsidRDefault="00B6137A" w:rsidP="009360C2">
            <w:pPr>
              <w:jc w:val="center"/>
              <w:rPr>
                <w:rFonts w:ascii="Times New Roman" w:hAnsi="Times New Roman" w:cs="Times New Roman"/>
                <w:b/>
                <w:bCs/>
                <w:sz w:val="20"/>
                <w:szCs w:val="20"/>
              </w:rPr>
            </w:pPr>
            <w:r>
              <w:rPr>
                <w:rFonts w:ascii="Times New Roman" w:hAnsi="Times New Roman" w:cs="Times New Roman"/>
                <w:b/>
                <w:bCs/>
                <w:sz w:val="20"/>
                <w:szCs w:val="20"/>
              </w:rPr>
              <w:t xml:space="preserve">Collective exclusive access </w:t>
            </w:r>
            <w:r w:rsidR="00105340">
              <w:rPr>
                <w:rFonts w:ascii="Times New Roman" w:hAnsi="Times New Roman" w:cs="Times New Roman"/>
                <w:b/>
                <w:bCs/>
                <w:sz w:val="20"/>
                <w:szCs w:val="20"/>
              </w:rPr>
              <w:t xml:space="preserve">regime </w:t>
            </w:r>
          </w:p>
          <w:p w14:paraId="69D81702" w14:textId="77777777" w:rsidR="00A50290" w:rsidRPr="00B6137A" w:rsidRDefault="00A50290" w:rsidP="009360C2">
            <w:pPr>
              <w:jc w:val="center"/>
              <w:rPr>
                <w:rFonts w:ascii="Times New Roman" w:hAnsi="Times New Roman" w:cs="Times New Roman"/>
                <w:sz w:val="20"/>
                <w:szCs w:val="20"/>
              </w:rPr>
            </w:pPr>
            <w:r w:rsidRPr="00A50290">
              <w:rPr>
                <w:rFonts w:ascii="Times New Roman" w:hAnsi="Times New Roman" w:cs="Times New Roman"/>
                <w:b/>
                <w:bCs/>
                <w:sz w:val="20"/>
                <w:szCs w:val="20"/>
              </w:rPr>
              <w:t>(Loco)</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F7852A" w14:textId="349FE4B5" w:rsidR="00A50290" w:rsidRPr="00B6137A" w:rsidRDefault="00A50290" w:rsidP="009360C2">
            <w:pPr>
              <w:jc w:val="center"/>
              <w:rPr>
                <w:rFonts w:ascii="Times New Roman" w:hAnsi="Times New Roman" w:cs="Times New Roman"/>
                <w:b/>
                <w:bCs/>
                <w:sz w:val="20"/>
                <w:szCs w:val="20"/>
              </w:rPr>
            </w:pPr>
            <w:r w:rsidRPr="00D7011B">
              <w:rPr>
                <w:rFonts w:ascii="Times New Roman" w:hAnsi="Times New Roman" w:cs="Times New Roman"/>
                <w:b/>
                <w:bCs/>
                <w:i/>
                <w:iCs/>
                <w:sz w:val="20"/>
                <w:szCs w:val="20"/>
              </w:rPr>
              <w:t>Pseudo</w:t>
            </w:r>
            <w:r w:rsidR="00AD721B">
              <w:rPr>
                <w:rFonts w:ascii="Times New Roman" w:hAnsi="Times New Roman" w:cs="Times New Roman"/>
                <w:b/>
                <w:bCs/>
                <w:i/>
                <w:iCs/>
                <w:sz w:val="20"/>
                <w:szCs w:val="20"/>
              </w:rPr>
              <w:t>-</w:t>
            </w:r>
            <w:r w:rsidR="00B6137A" w:rsidRPr="00B6137A">
              <w:rPr>
                <w:rFonts w:ascii="Times New Roman" w:hAnsi="Times New Roman" w:cs="Times New Roman"/>
                <w:b/>
                <w:bCs/>
                <w:sz w:val="20"/>
                <w:szCs w:val="20"/>
              </w:rPr>
              <w:t>open access</w:t>
            </w:r>
          </w:p>
          <w:p w14:paraId="2FBC6324" w14:textId="77777777" w:rsidR="00A50290" w:rsidRPr="00B6137A" w:rsidRDefault="00A50290" w:rsidP="009360C2">
            <w:pPr>
              <w:jc w:val="center"/>
              <w:rPr>
                <w:rFonts w:ascii="Times New Roman" w:hAnsi="Times New Roman" w:cs="Times New Roman"/>
                <w:sz w:val="20"/>
                <w:szCs w:val="20"/>
              </w:rPr>
            </w:pPr>
            <w:r w:rsidRPr="00A50290">
              <w:rPr>
                <w:rFonts w:ascii="Times New Roman" w:hAnsi="Times New Roman" w:cs="Times New Roman"/>
                <w:b/>
                <w:bCs/>
                <w:iCs/>
                <w:sz w:val="20"/>
                <w:szCs w:val="20"/>
              </w:rPr>
              <w:t>(Hake)</w:t>
            </w:r>
          </w:p>
        </w:tc>
      </w:tr>
      <w:tr w:rsidR="00A50290" w:rsidRPr="00A50290" w14:paraId="29DCC29B" w14:textId="77777777" w:rsidTr="00B6137A">
        <w:trPr>
          <w:trHeight w:val="972"/>
        </w:trPr>
        <w:tc>
          <w:tcPr>
            <w:tcW w:w="2884" w:type="dxa"/>
            <w:vMerge/>
            <w:tcBorders>
              <w:left w:val="single" w:sz="8" w:space="0" w:color="000000"/>
              <w:bottom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tcPr>
          <w:p w14:paraId="120E152B" w14:textId="77777777" w:rsidR="00A50290" w:rsidRPr="00A50290" w:rsidRDefault="00A50290" w:rsidP="009360C2">
            <w:pPr>
              <w:jc w:val="center"/>
              <w:rPr>
                <w:rFonts w:ascii="Times New Roman" w:hAnsi="Times New Roman" w:cs="Times New Roman"/>
                <w:b/>
                <w:bCs/>
                <w:sz w:val="20"/>
                <w:szCs w:val="20"/>
              </w:rPr>
            </w:pPr>
          </w:p>
        </w:tc>
        <w:tc>
          <w:tcPr>
            <w:tcW w:w="19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4ECECA" w14:textId="77777777" w:rsidR="00A50290" w:rsidRPr="00A50290" w:rsidRDefault="00A50290" w:rsidP="009360C2">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075FEFC1" w14:textId="77777777" w:rsidR="00A50290" w:rsidRPr="00A50290" w:rsidRDefault="00A50290" w:rsidP="009360C2">
            <w:pPr>
              <w:jc w:val="center"/>
              <w:rPr>
                <w:rFonts w:ascii="Times New Roman" w:hAnsi="Times New Roman" w:cs="Times New Roman"/>
                <w:b/>
                <w:b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7D86D3" w14:textId="77777777" w:rsidR="00A50290" w:rsidRPr="00A50290" w:rsidRDefault="00A50290" w:rsidP="009360C2">
            <w:pPr>
              <w:jc w:val="center"/>
              <w:rPr>
                <w:rFonts w:ascii="Times New Roman" w:hAnsi="Times New Roman" w:cs="Times New Roman"/>
                <w:b/>
                <w:bCs/>
                <w:sz w:val="20"/>
                <w:szCs w:val="20"/>
              </w:rPr>
            </w:pPr>
            <w:r w:rsidRPr="00A50290">
              <w:rPr>
                <w:rFonts w:ascii="Times New Roman" w:hAnsi="Times New Roman" w:cs="Times New Roman"/>
                <w:b/>
                <w:bCs/>
                <w:sz w:val="20"/>
                <w:szCs w:val="20"/>
              </w:rPr>
              <w:t>Peer-enforced stage (Last 10 rounds)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A9F99D" w14:textId="77777777" w:rsidR="00A50290" w:rsidRPr="00A50290" w:rsidRDefault="00A50290" w:rsidP="009360C2">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4BD9AEE9" w14:textId="77777777" w:rsidR="00A50290" w:rsidRPr="00A50290" w:rsidRDefault="00A50290" w:rsidP="009360C2">
            <w:pPr>
              <w:jc w:val="center"/>
              <w:rPr>
                <w:rFonts w:ascii="Times New Roman" w:hAnsi="Times New Roman" w:cs="Times New Roman"/>
                <w:b/>
                <w:bCs/>
                <w:i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18074B" w14:textId="77777777" w:rsidR="00A50290" w:rsidRPr="00A50290" w:rsidRDefault="00A50290" w:rsidP="009360C2">
            <w:pPr>
              <w:jc w:val="center"/>
              <w:rPr>
                <w:rFonts w:ascii="Times New Roman" w:hAnsi="Times New Roman" w:cs="Times New Roman"/>
                <w:b/>
                <w:bCs/>
                <w:iCs/>
                <w:sz w:val="20"/>
                <w:szCs w:val="20"/>
              </w:rPr>
            </w:pPr>
            <w:r w:rsidRPr="00A50290">
              <w:rPr>
                <w:rFonts w:ascii="Times New Roman" w:hAnsi="Times New Roman" w:cs="Times New Roman"/>
                <w:b/>
                <w:bCs/>
                <w:sz w:val="20"/>
                <w:szCs w:val="20"/>
              </w:rPr>
              <w:t>Peer-enforced stage   (Last 10 rounds)</w:t>
            </w:r>
          </w:p>
        </w:tc>
      </w:tr>
      <w:tr w:rsidR="00A50290" w:rsidRPr="00A50290" w14:paraId="3064EB02" w14:textId="77777777" w:rsidTr="00B6137A">
        <w:trPr>
          <w:trHeight w:val="305"/>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227F9D" w14:textId="77777777" w:rsidR="00A50290" w:rsidRPr="00A50290" w:rsidRDefault="00A50290" w:rsidP="009360C2">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High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867290" w14:textId="77777777" w:rsidR="00A50290" w:rsidRPr="00A50290" w:rsidRDefault="00A50290" w:rsidP="009360C2">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E5F7EC" w14:textId="77777777" w:rsidR="00A50290" w:rsidRPr="00A50290" w:rsidRDefault="00A50290" w:rsidP="009360C2">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tr w:rsidR="00A50290" w:rsidRPr="00A50290" w14:paraId="06C28572" w14:textId="77777777" w:rsidTr="00B6137A">
        <w:trPr>
          <w:trHeight w:val="308"/>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987023" w14:textId="77777777" w:rsidR="00A50290" w:rsidRPr="00A50290" w:rsidRDefault="00A50290" w:rsidP="009360C2">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Low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12C256" w14:textId="77777777" w:rsidR="00A50290" w:rsidRPr="00A50290" w:rsidRDefault="00A50290" w:rsidP="009360C2">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B62BFE" w14:textId="77777777" w:rsidR="00A50290" w:rsidRPr="00A50290" w:rsidRDefault="00A50290" w:rsidP="009360C2">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bookmarkEnd w:id="0"/>
    </w:tbl>
    <w:p w14:paraId="36D19703" w14:textId="2CF188DE" w:rsidR="00A50290" w:rsidRDefault="00A50290" w:rsidP="00CC41F2">
      <w:pPr>
        <w:spacing w:line="480" w:lineRule="auto"/>
        <w:rPr>
          <w:rFonts w:ascii="Times New Roman" w:hAnsi="Times New Roman" w:cs="Times New Roman"/>
          <w:sz w:val="24"/>
          <w:szCs w:val="24"/>
        </w:rPr>
      </w:pPr>
    </w:p>
    <w:p w14:paraId="491C7002" w14:textId="64668736" w:rsidR="00F25882" w:rsidRDefault="00F25882" w:rsidP="00CC41F2">
      <w:pPr>
        <w:spacing w:line="480" w:lineRule="auto"/>
        <w:rPr>
          <w:rFonts w:ascii="Times New Roman" w:hAnsi="Times New Roman" w:cs="Times New Roman"/>
          <w:sz w:val="24"/>
          <w:szCs w:val="24"/>
        </w:rPr>
      </w:pPr>
    </w:p>
    <w:p w14:paraId="4C5E030D" w14:textId="520C85B0" w:rsidR="00F25882" w:rsidRDefault="00F25882" w:rsidP="00CC41F2">
      <w:pPr>
        <w:spacing w:line="480" w:lineRule="auto"/>
        <w:rPr>
          <w:rFonts w:ascii="Times New Roman" w:hAnsi="Times New Roman" w:cs="Times New Roman"/>
          <w:sz w:val="24"/>
          <w:szCs w:val="24"/>
        </w:rPr>
      </w:pPr>
    </w:p>
    <w:p w14:paraId="4571992A" w14:textId="3057C146" w:rsidR="00F25882" w:rsidRDefault="00F25882" w:rsidP="00CC41F2">
      <w:pPr>
        <w:spacing w:line="480" w:lineRule="auto"/>
        <w:rPr>
          <w:rFonts w:ascii="Times New Roman" w:hAnsi="Times New Roman" w:cs="Times New Roman"/>
          <w:sz w:val="24"/>
          <w:szCs w:val="24"/>
        </w:rPr>
      </w:pPr>
    </w:p>
    <w:p w14:paraId="319E6356" w14:textId="4C0F3407" w:rsidR="00F25882" w:rsidRDefault="00F25882" w:rsidP="00CC41F2">
      <w:pPr>
        <w:spacing w:line="480" w:lineRule="auto"/>
        <w:rPr>
          <w:rFonts w:ascii="Times New Roman" w:hAnsi="Times New Roman" w:cs="Times New Roman"/>
          <w:sz w:val="24"/>
          <w:szCs w:val="24"/>
        </w:rPr>
      </w:pPr>
    </w:p>
    <w:p w14:paraId="7E4BD013" w14:textId="67B6C706" w:rsidR="00F25882" w:rsidRDefault="00F25882" w:rsidP="00CC41F2">
      <w:pPr>
        <w:spacing w:line="480" w:lineRule="auto"/>
        <w:rPr>
          <w:rFonts w:ascii="Times New Roman" w:hAnsi="Times New Roman" w:cs="Times New Roman"/>
          <w:sz w:val="24"/>
          <w:szCs w:val="24"/>
        </w:rPr>
      </w:pPr>
    </w:p>
    <w:p w14:paraId="69FE264A" w14:textId="4170F694" w:rsidR="00F25882" w:rsidRDefault="00F25882" w:rsidP="00CC41F2">
      <w:pPr>
        <w:spacing w:line="480" w:lineRule="auto"/>
        <w:rPr>
          <w:rFonts w:ascii="Times New Roman" w:hAnsi="Times New Roman" w:cs="Times New Roman"/>
          <w:sz w:val="24"/>
          <w:szCs w:val="24"/>
        </w:rPr>
      </w:pPr>
    </w:p>
    <w:p w14:paraId="25B063F5" w14:textId="6C1E8373" w:rsidR="00F25882" w:rsidRDefault="00F25882" w:rsidP="00CC41F2">
      <w:pPr>
        <w:spacing w:line="480" w:lineRule="auto"/>
        <w:rPr>
          <w:rFonts w:ascii="Times New Roman" w:hAnsi="Times New Roman" w:cs="Times New Roman"/>
          <w:sz w:val="24"/>
          <w:szCs w:val="24"/>
        </w:rPr>
      </w:pPr>
    </w:p>
    <w:p w14:paraId="69A5B12F" w14:textId="0842BC93" w:rsidR="00F25882" w:rsidRDefault="00F25882" w:rsidP="00CC41F2">
      <w:pPr>
        <w:spacing w:line="480" w:lineRule="auto"/>
        <w:rPr>
          <w:rFonts w:ascii="Times New Roman" w:hAnsi="Times New Roman" w:cs="Times New Roman"/>
          <w:sz w:val="24"/>
          <w:szCs w:val="24"/>
        </w:rPr>
      </w:pPr>
    </w:p>
    <w:p w14:paraId="03490D1A" w14:textId="0E8B3CFA" w:rsidR="00F25882" w:rsidRDefault="00F25882" w:rsidP="00CC41F2">
      <w:pPr>
        <w:spacing w:line="480" w:lineRule="auto"/>
        <w:rPr>
          <w:rFonts w:ascii="Times New Roman" w:hAnsi="Times New Roman" w:cs="Times New Roman"/>
          <w:sz w:val="24"/>
          <w:szCs w:val="24"/>
        </w:rPr>
      </w:pPr>
    </w:p>
    <w:p w14:paraId="0EAEFF4A" w14:textId="15CD2637" w:rsidR="00F25882" w:rsidRDefault="00F25882" w:rsidP="00CC41F2">
      <w:pPr>
        <w:spacing w:line="480" w:lineRule="auto"/>
        <w:rPr>
          <w:rFonts w:ascii="Times New Roman" w:hAnsi="Times New Roman" w:cs="Times New Roman"/>
          <w:sz w:val="24"/>
          <w:szCs w:val="24"/>
        </w:rPr>
      </w:pPr>
    </w:p>
    <w:p w14:paraId="7A3FC812" w14:textId="1574A288" w:rsidR="00F25882" w:rsidRDefault="00671C90" w:rsidP="00CC41F2">
      <w:pPr>
        <w:spacing w:line="480" w:lineRule="auto"/>
        <w:rPr>
          <w:rFonts w:ascii="Times New Roman" w:hAnsi="Times New Roman" w:cs="Times New Roman"/>
          <w:b/>
          <w:bCs/>
          <w:sz w:val="24"/>
          <w:szCs w:val="24"/>
        </w:rPr>
      </w:pPr>
      <w:r w:rsidRPr="00671C90">
        <w:rPr>
          <w:rFonts w:ascii="Times New Roman" w:hAnsi="Times New Roman" w:cs="Times New Roman"/>
          <w:b/>
          <w:bCs/>
          <w:sz w:val="24"/>
          <w:szCs w:val="24"/>
        </w:rPr>
        <w:lastRenderedPageBreak/>
        <w:t>Figure legends</w:t>
      </w:r>
    </w:p>
    <w:p w14:paraId="368BE5BE" w14:textId="2EFC010D" w:rsidR="00671C90" w:rsidRDefault="00671C90" w:rsidP="00CC41F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002D347D" w:rsidRPr="002D347D">
        <w:rPr>
          <w:rFonts w:ascii="Times New Roman" w:hAnsi="Times New Roman" w:cs="Times New Roman"/>
          <w:sz w:val="24"/>
          <w:szCs w:val="24"/>
        </w:rPr>
        <w:t xml:space="preserve">Mean percent of compliance under the </w:t>
      </w:r>
      <w:r w:rsidR="00D6574A">
        <w:rPr>
          <w:rFonts w:ascii="Times New Roman" w:hAnsi="Times New Roman" w:cs="Times New Roman"/>
          <w:sz w:val="24"/>
          <w:szCs w:val="24"/>
        </w:rPr>
        <w:t>collective exclusive access</w:t>
      </w:r>
      <w:r w:rsidR="002D347D" w:rsidRPr="002D347D">
        <w:rPr>
          <w:rFonts w:ascii="Times New Roman" w:hAnsi="Times New Roman" w:cs="Times New Roman"/>
          <w:sz w:val="24"/>
          <w:szCs w:val="24"/>
        </w:rPr>
        <w:t xml:space="preserve"> treatment (blue bar) and the </w:t>
      </w:r>
      <w:r w:rsidR="002D347D" w:rsidRPr="00D6574A">
        <w:rPr>
          <w:rFonts w:ascii="Times New Roman" w:hAnsi="Times New Roman" w:cs="Times New Roman"/>
          <w:i/>
          <w:iCs/>
          <w:sz w:val="24"/>
          <w:szCs w:val="24"/>
        </w:rPr>
        <w:t>pseudo</w:t>
      </w:r>
      <w:r w:rsidR="002D347D" w:rsidRPr="002D347D">
        <w:rPr>
          <w:rFonts w:ascii="Times New Roman" w:hAnsi="Times New Roman" w:cs="Times New Roman"/>
          <w:sz w:val="24"/>
          <w:szCs w:val="24"/>
        </w:rPr>
        <w:t>-</w:t>
      </w:r>
      <w:r w:rsidR="00D6574A">
        <w:rPr>
          <w:rFonts w:ascii="Times New Roman" w:hAnsi="Times New Roman" w:cs="Times New Roman"/>
          <w:sz w:val="24"/>
          <w:szCs w:val="24"/>
        </w:rPr>
        <w:t>open access</w:t>
      </w:r>
      <w:r w:rsidR="002D347D"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002D347D" w:rsidRPr="002D347D">
        <w:rPr>
          <w:rFonts w:ascii="Times New Roman" w:hAnsi="Times New Roman" w:cs="Times New Roman"/>
          <w:sz w:val="24"/>
          <w:szCs w:val="24"/>
        </w:rPr>
        <w:t>.</w:t>
      </w:r>
    </w:p>
    <w:p w14:paraId="203FFEC9" w14:textId="29300D9B" w:rsidR="00D6574A" w:rsidRDefault="00D6574A" w:rsidP="00CC41F2">
      <w:pPr>
        <w:spacing w:line="480" w:lineRule="auto"/>
        <w:rPr>
          <w:rFonts w:ascii="Times New Roman" w:hAnsi="Times New Roman" w:cs="Times New Roman"/>
          <w:sz w:val="24"/>
          <w:szCs w:val="24"/>
        </w:rPr>
      </w:pP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sidR="00856E49">
        <w:rPr>
          <w:rFonts w:ascii="Times New Roman" w:hAnsi="Times New Roman" w:cs="Times New Roman"/>
          <w:sz w:val="24"/>
          <w:szCs w:val="24"/>
        </w:rPr>
        <w:t>collective exclusive access</w:t>
      </w:r>
      <w:r w:rsidR="00856E49"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sidR="00856E49">
        <w:rPr>
          <w:rFonts w:ascii="Times New Roman" w:hAnsi="Times New Roman" w:cs="Times New Roman"/>
          <w:sz w:val="24"/>
          <w:szCs w:val="24"/>
        </w:rPr>
        <w:t>collective exclusive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3386B638" w14:textId="2396481A" w:rsidR="00F91571" w:rsidRDefault="00F91571" w:rsidP="00CC41F2">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sidR="000E1B2A">
        <w:rPr>
          <w:rFonts w:ascii="Times New Roman" w:hAnsi="Times New Roman" w:cs="Times New Roman"/>
          <w:sz w:val="24"/>
          <w:szCs w:val="24"/>
        </w:rPr>
        <w:t xml:space="preserve"> (rounds 1,2,</w:t>
      </w:r>
      <w:r w:rsidR="00EB726A">
        <w:rPr>
          <w:rFonts w:ascii="Times New Roman" w:hAnsi="Times New Roman" w:cs="Times New Roman"/>
          <w:sz w:val="24"/>
          <w:szCs w:val="24"/>
        </w:rPr>
        <w:t xml:space="preserve"> and 3</w:t>
      </w:r>
      <w:r w:rsidR="000E1B2A">
        <w:rPr>
          <w:rFonts w:ascii="Times New Roman" w:hAnsi="Times New Roman" w:cs="Times New Roman"/>
          <w:sz w:val="24"/>
          <w:szCs w:val="24"/>
        </w:rPr>
        <w:t>)</w:t>
      </w:r>
      <w:r w:rsidRPr="00F91571">
        <w:rPr>
          <w:rFonts w:ascii="Times New Roman" w:hAnsi="Times New Roman" w:cs="Times New Roman"/>
          <w:sz w:val="24"/>
          <w:szCs w:val="24"/>
        </w:rPr>
        <w:t>, mid</w:t>
      </w:r>
      <w:r w:rsidR="00FD1FEF">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sidR="00EB726A">
        <w:rPr>
          <w:rFonts w:ascii="Times New Roman" w:hAnsi="Times New Roman" w:cs="Times New Roman"/>
          <w:sz w:val="24"/>
          <w:szCs w:val="24"/>
        </w:rPr>
        <w:t xml:space="preserve">(rounds 8, 9, and 10) </w:t>
      </w:r>
      <w:r w:rsidR="00EB726A" w:rsidRPr="00F91571">
        <w:rPr>
          <w:rFonts w:ascii="Times New Roman" w:hAnsi="Times New Roman" w:cs="Times New Roman"/>
          <w:sz w:val="24"/>
          <w:szCs w:val="24"/>
        </w:rPr>
        <w:t>periods</w:t>
      </w:r>
      <w:r w:rsidRPr="00F91571">
        <w:rPr>
          <w:rFonts w:ascii="Times New Roman" w:hAnsi="Times New Roman" w:cs="Times New Roman"/>
          <w:sz w:val="24"/>
          <w:szCs w:val="24"/>
        </w:rPr>
        <w:t xml:space="preserve"> of the non-enforced and peer-enforced stages (left panel)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5758C005" w14:textId="760D6649" w:rsidR="00D07B13" w:rsidRDefault="00D07B13" w:rsidP="00CC41F2">
      <w:pPr>
        <w:spacing w:line="480" w:lineRule="auto"/>
        <w:rPr>
          <w:rFonts w:ascii="Times New Roman" w:hAnsi="Times New Roman" w:cs="Times New Roman"/>
          <w:sz w:val="24"/>
          <w:szCs w:val="24"/>
        </w:rPr>
      </w:pPr>
    </w:p>
    <w:p w14:paraId="7B19EBB0" w14:textId="6EEBEE43" w:rsidR="00D07B13" w:rsidRDefault="00D07B13" w:rsidP="00CC41F2">
      <w:pPr>
        <w:spacing w:line="480" w:lineRule="auto"/>
        <w:rPr>
          <w:rFonts w:ascii="Times New Roman" w:hAnsi="Times New Roman" w:cs="Times New Roman"/>
          <w:b/>
          <w:bCs/>
          <w:sz w:val="24"/>
          <w:szCs w:val="24"/>
        </w:rPr>
      </w:pPr>
      <w:r w:rsidRPr="00D07B13">
        <w:rPr>
          <w:rFonts w:ascii="Times New Roman" w:hAnsi="Times New Roman" w:cs="Times New Roman"/>
          <w:b/>
          <w:bCs/>
          <w:sz w:val="24"/>
          <w:szCs w:val="24"/>
        </w:rPr>
        <w:lastRenderedPageBreak/>
        <w:t>Figures</w:t>
      </w:r>
    </w:p>
    <w:p w14:paraId="6C2065A4" w14:textId="37FB44DB" w:rsidR="00D07B13" w:rsidRDefault="00D07B13" w:rsidP="00CC41F2">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37867A" wp14:editId="7D8DE55D">
            <wp:extent cx="5038344" cy="5757672"/>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8344" cy="5757672"/>
                    </a:xfrm>
                    <a:prstGeom prst="rect">
                      <a:avLst/>
                    </a:prstGeom>
                  </pic:spPr>
                </pic:pic>
              </a:graphicData>
            </a:graphic>
          </wp:inline>
        </w:drawing>
      </w:r>
    </w:p>
    <w:p w14:paraId="48EDEA5B" w14:textId="1242AF51" w:rsidR="00D07B13" w:rsidRDefault="00D07B13" w:rsidP="00D07B1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Pr="002D347D">
        <w:rPr>
          <w:rFonts w:ascii="Times New Roman" w:hAnsi="Times New Roman" w:cs="Times New Roman"/>
          <w:sz w:val="24"/>
          <w:szCs w:val="24"/>
        </w:rPr>
        <w:t xml:space="preserve">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 (blue bar)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Pr="002D347D">
        <w:rPr>
          <w:rFonts w:ascii="Times New Roman" w:hAnsi="Times New Roman" w:cs="Times New Roman"/>
          <w:sz w:val="24"/>
          <w:szCs w:val="24"/>
        </w:rPr>
        <w:t>.</w:t>
      </w:r>
    </w:p>
    <w:p w14:paraId="234C70CC" w14:textId="1579AE36" w:rsidR="00123B97" w:rsidRDefault="00123B97" w:rsidP="00D07B13">
      <w:pPr>
        <w:spacing w:line="480" w:lineRule="auto"/>
        <w:rPr>
          <w:rFonts w:ascii="Times New Roman" w:hAnsi="Times New Roman" w:cs="Times New Roman"/>
          <w:sz w:val="24"/>
          <w:szCs w:val="24"/>
        </w:rPr>
      </w:pPr>
    </w:p>
    <w:p w14:paraId="3D8D5F8C" w14:textId="5FDD3688" w:rsidR="00D07B13" w:rsidRDefault="00CB563B"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1417C" wp14:editId="2BEC5DB2">
            <wp:extent cx="5757672" cy="4319016"/>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7672" cy="4319016"/>
                    </a:xfrm>
                    <a:prstGeom prst="rect">
                      <a:avLst/>
                    </a:prstGeom>
                  </pic:spPr>
                </pic:pic>
              </a:graphicData>
            </a:graphic>
          </wp:inline>
        </w:drawing>
      </w: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4481EED3" w14:textId="5E4EF59E" w:rsidR="00CB563B" w:rsidRDefault="00B15109"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230AB2" wp14:editId="570BE725">
            <wp:extent cx="6351131" cy="3810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4994" cy="3812318"/>
                    </a:xfrm>
                    <a:prstGeom prst="rect">
                      <a:avLst/>
                    </a:prstGeom>
                  </pic:spPr>
                </pic:pic>
              </a:graphicData>
            </a:graphic>
          </wp:inline>
        </w:drawing>
      </w:r>
    </w:p>
    <w:p w14:paraId="7B0DB9D7" w14:textId="5A3025C3" w:rsidR="00B15109" w:rsidRDefault="00B15109" w:rsidP="00B15109">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Pr>
          <w:rFonts w:ascii="Times New Roman" w:hAnsi="Times New Roman" w:cs="Times New Roman"/>
          <w:sz w:val="24"/>
          <w:szCs w:val="24"/>
        </w:rPr>
        <w:t xml:space="preserve"> (rounds 1,2, and 3)</w:t>
      </w:r>
      <w:r w:rsidRPr="00F91571">
        <w:rPr>
          <w:rFonts w:ascii="Times New Roman" w:hAnsi="Times New Roman" w:cs="Times New Roman"/>
          <w:sz w:val="24"/>
          <w:szCs w:val="24"/>
        </w:rPr>
        <w:t>, mid</w:t>
      </w:r>
      <w:r>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Pr>
          <w:rFonts w:ascii="Times New Roman" w:hAnsi="Times New Roman" w:cs="Times New Roman"/>
          <w:sz w:val="24"/>
          <w:szCs w:val="24"/>
        </w:rPr>
        <w:t xml:space="preserve">(rounds 8, 9, and 10) </w:t>
      </w:r>
      <w:r w:rsidRPr="00F91571">
        <w:rPr>
          <w:rFonts w:ascii="Times New Roman" w:hAnsi="Times New Roman" w:cs="Times New Roman"/>
          <w:sz w:val="24"/>
          <w:szCs w:val="24"/>
        </w:rPr>
        <w:t>periods of the non-enforced and peer-enforced stages (left panel)</w:t>
      </w:r>
      <w:r w:rsidR="007D0123">
        <w:rPr>
          <w:rFonts w:ascii="Times New Roman" w:hAnsi="Times New Roman" w:cs="Times New Roman"/>
          <w:sz w:val="24"/>
          <w:szCs w:val="24"/>
        </w:rPr>
        <w:t>,</w:t>
      </w:r>
      <w:r w:rsidRPr="00F91571">
        <w:rPr>
          <w:rFonts w:ascii="Times New Roman" w:hAnsi="Times New Roman" w:cs="Times New Roman"/>
          <w:sz w:val="24"/>
          <w:szCs w:val="24"/>
        </w:rPr>
        <w:t xml:space="preserve">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16318AF0" w14:textId="77777777" w:rsidR="00B15109" w:rsidRPr="00CB563B" w:rsidRDefault="00B15109" w:rsidP="00CC41F2">
      <w:pPr>
        <w:spacing w:line="480" w:lineRule="auto"/>
        <w:rPr>
          <w:rFonts w:ascii="Times New Roman" w:hAnsi="Times New Roman" w:cs="Times New Roman"/>
          <w:sz w:val="24"/>
          <w:szCs w:val="24"/>
        </w:rPr>
      </w:pPr>
    </w:p>
    <w:sectPr w:rsidR="00B15109" w:rsidRPr="00CB563B" w:rsidSect="006550A2">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2A7AD" w14:textId="77777777" w:rsidR="00F478AF" w:rsidRDefault="00F478AF" w:rsidP="00344F2B">
      <w:pPr>
        <w:spacing w:after="0" w:line="240" w:lineRule="auto"/>
      </w:pPr>
      <w:r>
        <w:separator/>
      </w:r>
    </w:p>
  </w:endnote>
  <w:endnote w:type="continuationSeparator" w:id="0">
    <w:p w14:paraId="23CEF1D3" w14:textId="77777777" w:rsidR="00F478AF" w:rsidRDefault="00F478AF" w:rsidP="0034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797547"/>
      <w:docPartObj>
        <w:docPartGallery w:val="Page Numbers (Bottom of Page)"/>
        <w:docPartUnique/>
      </w:docPartObj>
    </w:sdtPr>
    <w:sdtEndPr>
      <w:rPr>
        <w:noProof/>
      </w:rPr>
    </w:sdtEndPr>
    <w:sdtContent>
      <w:p w14:paraId="6ED64751" w14:textId="5FC28C93" w:rsidR="00344F2B" w:rsidRDefault="00344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1FF47" w14:textId="77777777" w:rsidR="00344F2B" w:rsidRDefault="0034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943E5" w14:textId="77777777" w:rsidR="00F478AF" w:rsidRDefault="00F478AF" w:rsidP="00344F2B">
      <w:pPr>
        <w:spacing w:after="0" w:line="240" w:lineRule="auto"/>
      </w:pPr>
      <w:r>
        <w:separator/>
      </w:r>
    </w:p>
  </w:footnote>
  <w:footnote w:type="continuationSeparator" w:id="0">
    <w:p w14:paraId="58D97A96" w14:textId="77777777" w:rsidR="00F478AF" w:rsidRDefault="00F478AF" w:rsidP="0034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88C"/>
    <w:multiLevelType w:val="hybridMultilevel"/>
    <w:tmpl w:val="FE00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0F8D"/>
    <w:multiLevelType w:val="hybridMultilevel"/>
    <w:tmpl w:val="A80A2E26"/>
    <w:lvl w:ilvl="0" w:tplc="7338BAB0">
      <w:start w:val="1"/>
      <w:numFmt w:val="upperRoman"/>
      <w:lvlText w:val="%1."/>
      <w:lvlJc w:val="left"/>
      <w:pPr>
        <w:ind w:left="1440" w:hanging="720"/>
      </w:pPr>
      <w:rPr>
        <w:rFonts w:hint="default"/>
      </w:rPr>
    </w:lvl>
    <w:lvl w:ilvl="1" w:tplc="ADB0E4E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CD2077"/>
    <w:multiLevelType w:val="hybridMultilevel"/>
    <w:tmpl w:val="7DC8D95A"/>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7CFF"/>
    <w:multiLevelType w:val="hybridMultilevel"/>
    <w:tmpl w:val="504616FA"/>
    <w:lvl w:ilvl="0" w:tplc="9D182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8B519B"/>
    <w:multiLevelType w:val="hybridMultilevel"/>
    <w:tmpl w:val="BB6E0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02FD9"/>
    <w:multiLevelType w:val="hybridMultilevel"/>
    <w:tmpl w:val="CD1C3352"/>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A47714"/>
    <w:multiLevelType w:val="hybridMultilevel"/>
    <w:tmpl w:val="FAB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C45B5"/>
    <w:multiLevelType w:val="hybridMultilevel"/>
    <w:tmpl w:val="EFDE9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38"/>
    <w:rsid w:val="00016A26"/>
    <w:rsid w:val="000E1B2A"/>
    <w:rsid w:val="000E7438"/>
    <w:rsid w:val="00105340"/>
    <w:rsid w:val="00123B97"/>
    <w:rsid w:val="001B19F2"/>
    <w:rsid w:val="001E773A"/>
    <w:rsid w:val="00205B19"/>
    <w:rsid w:val="002D347D"/>
    <w:rsid w:val="002E7D13"/>
    <w:rsid w:val="00344F2B"/>
    <w:rsid w:val="00361093"/>
    <w:rsid w:val="0036787B"/>
    <w:rsid w:val="003F401D"/>
    <w:rsid w:val="004925AA"/>
    <w:rsid w:val="004B1268"/>
    <w:rsid w:val="005B7FD2"/>
    <w:rsid w:val="00617804"/>
    <w:rsid w:val="00631208"/>
    <w:rsid w:val="006550A2"/>
    <w:rsid w:val="00671C90"/>
    <w:rsid w:val="007D0123"/>
    <w:rsid w:val="007F67FE"/>
    <w:rsid w:val="00856E49"/>
    <w:rsid w:val="009F5FB7"/>
    <w:rsid w:val="00A50290"/>
    <w:rsid w:val="00AB430C"/>
    <w:rsid w:val="00AD721B"/>
    <w:rsid w:val="00AE73BF"/>
    <w:rsid w:val="00B15109"/>
    <w:rsid w:val="00B6137A"/>
    <w:rsid w:val="00BF74DA"/>
    <w:rsid w:val="00C5451C"/>
    <w:rsid w:val="00CB563B"/>
    <w:rsid w:val="00CC41F2"/>
    <w:rsid w:val="00D07B13"/>
    <w:rsid w:val="00D2218A"/>
    <w:rsid w:val="00D6574A"/>
    <w:rsid w:val="00D7011B"/>
    <w:rsid w:val="00DD27A1"/>
    <w:rsid w:val="00DE069D"/>
    <w:rsid w:val="00E1629F"/>
    <w:rsid w:val="00EB726A"/>
    <w:rsid w:val="00F25882"/>
    <w:rsid w:val="00F377FC"/>
    <w:rsid w:val="00F478AF"/>
    <w:rsid w:val="00F91571"/>
    <w:rsid w:val="00FD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E458"/>
  <w15:chartTrackingRefBased/>
  <w15:docId w15:val="{18BAB141-7E03-4A3A-9F0B-CD84D0FB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38"/>
    <w:pPr>
      <w:spacing w:after="0" w:line="240" w:lineRule="auto"/>
      <w:ind w:left="720"/>
      <w:contextualSpacing/>
    </w:pPr>
    <w:rPr>
      <w:rFonts w:ascii="Times New Roman" w:eastAsia="Calibri" w:hAnsi="Times New Roman" w:cs="Times New Roman"/>
      <w:sz w:val="20"/>
      <w:szCs w:val="20"/>
    </w:rPr>
  </w:style>
  <w:style w:type="paragraph" w:styleId="Bibliography">
    <w:name w:val="Bibliography"/>
    <w:basedOn w:val="Normal"/>
    <w:next w:val="Normal"/>
    <w:uiPriority w:val="37"/>
    <w:unhideWhenUsed/>
    <w:rsid w:val="002E7D13"/>
  </w:style>
  <w:style w:type="character" w:styleId="LineNumber">
    <w:name w:val="line number"/>
    <w:basedOn w:val="DefaultParagraphFont"/>
    <w:uiPriority w:val="99"/>
    <w:semiHidden/>
    <w:unhideWhenUsed/>
    <w:rsid w:val="00AB430C"/>
  </w:style>
  <w:style w:type="paragraph" w:styleId="Header">
    <w:name w:val="header"/>
    <w:basedOn w:val="Normal"/>
    <w:link w:val="HeaderChar"/>
    <w:uiPriority w:val="99"/>
    <w:unhideWhenUsed/>
    <w:rsid w:val="0034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2B"/>
  </w:style>
  <w:style w:type="paragraph" w:styleId="Footer">
    <w:name w:val="footer"/>
    <w:basedOn w:val="Normal"/>
    <w:link w:val="FooterChar"/>
    <w:uiPriority w:val="99"/>
    <w:unhideWhenUsed/>
    <w:rsid w:val="0034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24</Pages>
  <Words>23551</Words>
  <Characters>134241</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41</cp:revision>
  <dcterms:created xsi:type="dcterms:W3CDTF">2020-09-21T20:57:00Z</dcterms:created>
  <dcterms:modified xsi:type="dcterms:W3CDTF">2020-09-21T23:06:00Z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id="ggDJpLAN"/&gt;&lt;style id="http://www.zotero.org/styles/conservation-biology" hasBibliography="1" bibliographyStyleHasBeenSet="1"/&gt;&lt;prefs&gt;&lt;pref name="fieldType" value="Field"/&gt;&lt;/prefs&gt;&lt;/data&gt;</vt:lpwstr>
  </property>
</Properties>
</file>