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0ce70e6c8cd1aa3e32785d83b13b086bc524f4a"/>
    <w:p>
      <w:pPr>
        <w:pStyle w:val="Heading1"/>
      </w:pPr>
      <w:r>
        <w:t xml:space="preserve">Appendix to the Estate, Inheritances, and Gift Taxes (EIG) Section</w:t>
      </w:r>
    </w:p>
    <w:bookmarkStart w:id="20" w:name="introduction"/>
    <w:p>
      <w:pPr>
        <w:pStyle w:val="Heading2"/>
      </w:pPr>
      <w:r>
        <w:t xml:space="preserve">Introduction</w:t>
      </w:r>
    </w:p>
    <w:p>
      <w:pPr>
        <w:pStyle w:val="FirstParagraph"/>
      </w:pPr>
      <w:r>
        <w:t xml:space="preserve">The Appendix of the Estate, Inheritances, and Gift Taxes (EIG) section of the GC Wealth Project provides additional information on the data creation and data validation processes and a detailed documentation of sources. In particular, this appendix provides:</w:t>
      </w:r>
    </w:p>
    <w:bookmarkEnd w:id="20"/>
    <w:bookmarkStart w:id="21" w:name="data-creation-processes"/>
    <w:p>
      <w:pPr>
        <w:pStyle w:val="Heading2"/>
      </w:pPr>
      <w:r>
        <w:t xml:space="preserve">Data Creation Processes</w:t>
      </w:r>
    </w:p>
    <w:p>
      <w:pPr>
        <w:pStyle w:val="FirstParagraph"/>
      </w:pPr>
      <w:r>
        <w:t xml:space="preserve">Information on Estate, Inheritance, and Gift taxes is collected from three broadly different source categories: 1) Legal tax documents from public entities, 2) information on tax codes and schedules from third-party sources, and 3) tax revenue data typically from the OECD</w:t>
      </w:r>
      <w:r>
        <w:t xml:space="preserve"> </w:t>
      </w:r>
      <w:r>
        <w:t xml:space="preserve">[@OECDStatistics_RevenueStatisticsOECDCountriesComparative]</w:t>
      </w:r>
      <w:r>
        <w:t xml:space="preserve">. Depending on the source category, the information can be directly inserted into the Estate, Inheritance, and Gift Taxes database (as is the case with tax revenue information) or be subject to interpretation and harmonization procedures (as is the case with detailed information on tax schedules and rates).</w:t>
      </w:r>
    </w:p>
    <w:p>
      <w:pPr>
        <w:pStyle w:val="BodyText"/>
      </w:pPr>
      <w:r>
        <w:t xml:space="preserve">We retrieve tax schedule information only where interpretation of tax rates and schedules is unambiguous For instance, information from documents that provide a full tax schedule—from personal exemptions to specific tax rates for each bracket as well as lower and upper bounds of every bracket—can be easily added to the database. Sometimes, however, sources provide only a broad range of the tax schedule (e.g., 10-30% inheritance tax). In such cases we make use of the information that is evident (e.g., lowest inheritance tax rate being 10%, top inheritance tax rate being 30%) but refrain from filling tax schedule variables because the information is insufficient to determine exemptions or brackets.</w:t>
      </w:r>
    </w:p>
    <w:p>
      <w:pPr>
        <w:pStyle w:val="BodyText"/>
      </w:pPr>
      <w:r>
        <w:t xml:space="preserve">To ensure comparability of Estate, Inheritance, and Gift tax schedules and rates across countries and over time, the information is stratified by transfer category (e.g., gift or inheritance) and donor relationship (i.e., only direct children). Estate, Inheritance, and Gift tax information that does not fit into the harmonized set of variables is documented in country-year-specific notes that will be made available soon.</w:t>
      </w:r>
    </w:p>
    <w:p>
      <w:pPr>
        <w:pStyle w:val="BodyText"/>
      </w:pPr>
      <w:r>
        <w:t xml:space="preserve">Information on EIG taxes is validated along two dimensions: 1) external consistency of collected data using additional sources (wherever possible), and 2) internal consistency of harmonized information. The former crucially depends on the availability of external sources, either from legal tax documents or third-party tax information. The latter is validated within the EIG data based on a set of conditions. For instance, some countries report a positive value of EIG tax revenue despite not levying any EIG tax. In these cases, country-years are checked individually, as revenue is sometimes collected from estates and bequests dating back several years.</w:t>
      </w:r>
    </w:p>
    <w:p>
      <w:pPr>
        <w:pStyle w:val="BodyText"/>
      </w:pPr>
      <w:r>
        <w:t xml:space="preserve">For 15 countries (Austria, Belgium, Chile, Croatia, El Salvador, Finland, France, Germany, Ireland, Italy, Netherlands, New Zealand, Peru, Portugal, Venezuela), the sources report tax schedules in a historical national currency in place in a given year (for instance, German Mark in Germany prior to the introduction of the Euro). We convert those historical currency values to the current national currency by using the fixed conversion rate established at the time of currency exchange in each country. For Chile, Uzbekistan, and Zimbabwe, for which the sources report the tax schedule in a different currency (not a historical one), we use the market exchange rate to get the national currency. The table below reports the fixed conversion rates we applied. For the specific case of Zimbabwe, which adopted USD in 2009 without fixing a conversion rate, we convert the schedule using the market exchange rate between ZWE and USD.</w:t>
      </w:r>
    </w:p>
    <w:bookmarkEnd w:id="21"/>
    <w:bookmarkStart w:id="22" w:name="Xa0ee22c1294eef8b87991cc2fce7884756f5831"/>
    <w:p>
      <w:pPr>
        <w:pStyle w:val="Heading2"/>
      </w:pPr>
      <w:r>
        <w:t xml:space="preserve">Sources Included in the Estate, Inheritance, and Gift Taxes Section</w:t>
      </w:r>
    </w:p>
    <w:p>
      <w:pPr>
        <w:pStyle w:val="FirstParagraph"/>
      </w:pPr>
      <w:r>
        <w:t xml:space="preserve">All data sources included in the current version of the Estate, Inheritance, and Gift Tax section are reported in Table</w:t>
      </w:r>
      <w:r>
        <w:t xml:space="preserve"> </w:t>
      </w:r>
      <w:r>
        <w:t xml:space="preserve">.</w:t>
      </w:r>
    </w:p>
    <w:bookmarkEnd w:id="22"/>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2023-10-06T20:32:06Z</dcterms:created>
  <dcterms:modified xsi:type="dcterms:W3CDTF">2023-10-06T20:32:06Z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