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Validación del Sprint 4 (Sprint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Marco ágil (Scrum) · Una versión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1.0 · Fecha: 09/10/2026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874343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Datos del sprint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Sprint Backlog con avance diario y validación del Product Owner</w:t>
            <w:tab/>
            <w:t xml:space="preserve">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Gráfico de avance del sprint (Burndown)</w:t>
            <w:tab/>
            <w:t xml:space="preserve">8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Incremento demostrado</w:t>
            <w:tab/>
            <w:t xml:space="preserve">8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Pila del producto (Product Backlog) actualizada</w:t>
            <w:tab/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Sprint Review del Sprint 4 (09/10/2026).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2730"/>
        <w:gridCol w:w="2760"/>
        <w:gridCol w:w="2205"/>
        <w:tblGridChange w:id="0">
          <w:tblGrid>
            <w:gridCol w:w="1650"/>
            <w:gridCol w:w="2730"/>
            <w:gridCol w:w="2760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1. Datos del sprint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 · «Negocio»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Fechas (inicio – 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28/09/2026 – 11/10/2026 (10 días hábiles)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Entregar las métricas de negocio y la gestión comercial completa para el informe de avance (semana 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del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 09/10/2026 · 21:00 · videollamada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Owner: Paolo Salamanca · Scrum Master: Alvaro Faúndez · Equipo: Alvaro Faúndez, Paolo Salamanca, Ignacio Bustos · Docentes invitados: Juan Pablo Mellado · Mabel Alejandra Herrera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Sprint Backlog con avance diario y validación del Product Owner</w:t>
      </w:r>
    </w:p>
    <w:p w:rsidR="00000000" w:rsidDel="00000000" w:rsidP="00000000" w:rsidRDefault="00000000" w:rsidRPr="00000000" w14:paraId="00000058">
      <w:pPr>
        <w:spacing w:after="120" w:before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Horas dedicadas por día a cada tarea (Resp.: AF = Alvaro Faúndez, PS = Paolo Salamanca, IB = Ignacio Bustos). Todas las tareas fueron aprobadas (A) por el Product Owner; ninguna volvió al Product Backlog. La columna Total muestra las horas reales: en este sprint varias tareas tomaron menos de lo estimado y ninguna superó su estimación.</w:t>
      </w:r>
      <w:r w:rsidDel="00000000" w:rsidR="00000000" w:rsidRPr="00000000">
        <w:rPr>
          <w:rtl w:val="0"/>
        </w:rPr>
      </w:r>
    </w:p>
    <w:tbl>
      <w:tblPr>
        <w:tblStyle w:val="Table5"/>
        <w:tblW w:w="1167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050"/>
        <w:gridCol w:w="2900"/>
        <w:gridCol w:w="520"/>
        <w:gridCol w:w="52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20"/>
        <w:gridCol w:w="560"/>
        <w:tblGridChange w:id="0">
          <w:tblGrid>
            <w:gridCol w:w="1050"/>
            <w:gridCol w:w="2900"/>
            <w:gridCol w:w="520"/>
            <w:gridCol w:w="52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20"/>
            <w:gridCol w:w="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29/09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01/10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09/10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Estado (A/R)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EP07-HU01-T1 · Backend: endpoints y reglas de negocio para 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EP07-HU01-T2 · Frontend: pantalla y acciones para 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EP07-HU01-T3 · Pruebas automáticas y criterios de aceptación de la historia (ver las métricas comerciales por periodo con su variación)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EP07-HU02-T1 · Backend: endpoints y reglas de negocio para 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EP07-HU02-T2 · Frontend: pantalla y acciones para 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EP07-HU02-T3 · Pruebas automáticas y criterios de aceptación de la historia (ver el embudo freemium desde la descarga hasta el pago)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EP07-HU03-T1 · Backend y pruebas automáticas para 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EP07-HU03-T2 · Frontend: pantalla y acciones para 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EP07-HU04-T1 · Backend: endpoints y reglas de negocio para 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EP07-HU04-T2 · Frontend: pantalla y acciones para 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EP07-HU04-T3 · Pruebas automáticas y criterios de aceptación de la historia (ver la adopción de cada funcionalidad por 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EP07-HU05-T1 · Backend: endpoints y reglas de negocio para 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EP07-HU05-T2 · Frontend: pantalla y acciones para 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EP07-HU05-T3 · Pruebas automáticas y criterios de aceptación de la historia (que las métricas agregadas se consoliden automáticamente)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EP08-HU01-T1 · Backend: endpoints y reglas de negocio para 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EP08-HU01-T2 · Frontend: pantalla y acciones para 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EP08-HU01-T3 · Pruebas automáticas y criterios de aceptación de la historia (configurar el precio y las funcionalidades de cada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EP08-HU02-T1 · Backend: endpoints y reglas de negocio para 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EP08-HU02-T2 · Frontend: pantalla y acciones para 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EP08-HU02-T3 · Pruebas automáticas y criterios de aceptación de la historia (dar de alta y gestionar cuentas de clientes)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EP08-HU03-T1 · Backend: endpoints y reglas de negocio para 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EP08-HU03-T2 · Frontend: pantalla y acciones para 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EP08-HU03-T3 · Pruebas automáticas y criterios de aceptación de la historia (cambiar el plan de una suscripción)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EP08-HU04-T1 · Backend: endpoints y reglas de negocio para 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EP08-HU04-T2 · Frontend: pantalla y acciones para 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EP08-HU04-T3 · Pruebas automáticas y criterios de aceptación de la historia (cancelar una suscripción con motivo)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EP08-HU05-T1 · Backend: endpoints y reglas de negocio para 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EP08-HU05-T2 · Frontend: pantalla y acciones para 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EP08-HU05-T3 · Pruebas automáticas y criterios de aceptación de la historia (consultar las transacciones de pago con filtros)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EP08-HU06-T1 · Backend: endpoints y reglas de negocio para 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EP08-HU06-T2 · Frontend: pantalla y acciones para 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EP08-HU06-T3 · Pruebas automáticas y criterios de aceptación de la historia (que los eventos de la pasarela de pagos se registren automáticamente)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EP08-HU07-T1 · Backend: endpoints y reglas de negocio para 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EP08-HU07-T2 · Frontend: pantalla y acciones para 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EP08-HU07-T3 · Pruebas automáticas y criterios de aceptación de la historia (emitir reembolsos totales o parciales)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GES-S4-T1 · Informe de avance (semana 9), diario de reflexión y 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GES-S4-T2 · Pruebas de carga y auditoría de dependencias preliminares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GES-S4-T3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GES-S4-T4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GES-S4-T5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80" w:before="0" w:lineRule="auto"/>
        <w:jc w:val="both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r w:rsidDel="00000000" w:rsidR="00000000" w:rsidRPr="00000000">
        <w:rPr>
          <w:rtl w:val="0"/>
        </w:rPr>
        <w:t xml:space="preserve">3. Gráfico de avance del sprint (Burndown)</w:t>
      </w:r>
    </w:p>
    <w:p w:rsidR="00000000" w:rsidDel="00000000" w:rsidP="00000000" w:rsidRDefault="00000000" w:rsidRPr="00000000" w14:paraId="000002FB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677160"/>
            <wp:effectExtent b="0" l="0" r="0" t="0"/>
            <wp:docPr id="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Burndown del Sprint 4 (planilla ACA_07_Burndown_Chart, hoja «Sprint 4»).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comprometieron 134 h de una capacidad de 150 h (5 h por persona al día; 89% de uso). El avance real siguió la línea ideal. Varias tareas tomaron menos horas reales que lo estimado (cerca del 85%); las horas que quedaron libres en la segunda semana se usaron para adelantar la épica EP09 (26 h estimadas) del Sprint 5.</w:t>
      </w:r>
    </w:p>
    <w:p w:rsidR="00000000" w:rsidDel="00000000" w:rsidP="00000000" w:rsidRDefault="00000000" w:rsidRPr="00000000" w14:paraId="000002FE">
      <w:pPr>
        <w:pStyle w:val="Heading1"/>
        <w:rPr/>
      </w:pPr>
      <w:r w:rsidDel="00000000" w:rsidR="00000000" w:rsidRPr="00000000">
        <w:rPr>
          <w:rtl w:val="0"/>
        </w:rPr>
        <w:t xml:space="preserve">4. Incremento demostrado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704"/>
        <w:gridCol w:w="3224"/>
        <w:gridCol w:w="936"/>
        <w:gridCol w:w="2496"/>
        <w:tblGridChange w:id="0">
          <w:tblGrid>
            <w:gridCol w:w="2704"/>
            <w:gridCol w:w="3224"/>
            <w:gridCol w:w="936"/>
            <w:gridCol w:w="24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Funcionalidad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¿Cumple la DoD?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Observación del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EP07-HU01 · 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KPIs por periodo; Tendencia; Mezcla de planes.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Pide la variación respecto del periodo anterior en cada KPI; ya incluida.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EP07-HU02 · 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Embudo; Comparación.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EP07-HU03 · 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Uso por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EP07-HU04 · 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Mapa de calor; Baja adopción; No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EP07-HU05 · 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Consolidación programada; Consolidación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EP08-HU01 · 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Editar plan; Plan gratuito.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EP08-HU02 · 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Alta de cuenta; RUT inválido; Titular inexistente.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EP08-HU03 · 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Cambio de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EP08-HU04 · 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Cancelar; Ya cancelada.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EP08-HU05 · 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EP08-HU06 · 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Pago aprobado; Pago rechazado; Firma inválida; Evento duplicado.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Se probó el webhook con firma válida, inválida y evento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EP08-HU07 · 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Reembolso parcial; Monto excedido; No reembolsable.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EP09-HU01 · 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Actualizar umbral; Rango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EP09-HU02 · 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Cambio válido; Conflicto.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EP09-HU03 · 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Borrador; Cambio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EP09-HU04 · 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Publicar; Publicada inmutable.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 (adelantada del Sprint 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rPr/>
      </w:pPr>
      <w:r w:rsidDel="00000000" w:rsidR="00000000" w:rsidRPr="00000000">
        <w:rPr>
          <w:rtl w:val="0"/>
        </w:rPr>
        <w:t xml:space="preserve">5. Pila del producto (Product Backlog) actualizada</w:t>
      </w:r>
    </w:p>
    <w:p w:rsidR="00000000" w:rsidDel="00000000" w:rsidP="00000000" w:rsidRDefault="00000000" w:rsidRPr="00000000" w14:paraId="00000345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Avance acumulado al cierre del Sprint 4: </w:t>
      </w:r>
      <w:r w:rsidDel="00000000" w:rsidR="00000000" w:rsidRPr="00000000">
        <w:rPr>
          <w:b w:val="1"/>
          <w:bCs w:val="1"/>
          <w:rtl w:val="0"/>
        </w:rPr>
        <w:t xml:space="preserve">168 de 197 puntos</w:t>
      </w:r>
      <w:r w:rsidDel="00000000" w:rsidR="00000000" w:rsidRPr="00000000">
        <w:rPr>
          <w:rtl w:val="0"/>
        </w:rPr>
        <w:t xml:space="preserve"> (85%).</w:t>
      </w:r>
    </w:p>
    <w:tbl>
      <w:tblPr>
        <w:tblStyle w:val="Table7"/>
        <w:tblW w:w="9358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308"/>
        <w:gridCol w:w="4529"/>
        <w:gridCol w:w="1006"/>
        <w:gridCol w:w="1006"/>
        <w:gridCol w:w="1509"/>
        <w:tblGridChange w:id="0">
          <w:tblGrid>
            <w:gridCol w:w="1308"/>
            <w:gridCol w:w="4529"/>
            <w:gridCol w:w="1006"/>
            <w:gridCol w:w="1006"/>
            <w:gridCol w:w="150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consola publicada en Render con la base de datos en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pipeline de integración y despliegue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Registros y alertas técnicas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seguridad basadas en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carga sobre los endpoints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manual de usuario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4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6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2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oWms3nR4V3dISE+/E4lXLn1eg==">CgMxLjA4AHIhMWxSOFNqTFQyZG95akRJTzhJcklfdzBoSFNGQmJ3S1pv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2026-10-01T19:20:01.081Z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