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Requisitos Funcionales y No Funcionales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“AgeCare Administración”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Grupo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bmk41hny367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7387295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Introducción</w:t>
            <w:tab/>
            <w:t xml:space="preserve">4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 Propósito</w:t>
            <w:tab/>
            <w:t xml:space="preserve">4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 Alcance del producto</w:t>
            <w:tab/>
            <w:t xml:space="preserve">4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 Objetivos del negocio que soporta</w:t>
            <w:tab/>
            <w:t xml:space="preserve">4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 Definiciones y abreviaturas</w:t>
            <w:tab/>
            <w:t xml:space="preserve">4</w:t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 Referencias</w:t>
            <w:tab/>
            <w:t xml:space="preserve">4</w:t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Descripción general</w:t>
            <w:tab/>
            <w:t xml:space="preserve">5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 Perspectiva del producto</w:t>
            <w:tab/>
            <w:t xml:space="preserve">5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 Usuarios y roles</w:t>
            <w:tab/>
            <w:t xml:space="preserve">5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2.3 Restricciones</w:t>
            <w:tab/>
            <w:t xml:space="preserve">5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2.4 Supuestos y dependencias</w:t>
            <w:tab/>
            <w:t xml:space="preserve">5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2.5 Fuera de alcance</w:t>
            <w:tab/>
            <w:t xml:space="preserve">5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 Requisitos funcionales</w:t>
            <w:tab/>
            <w:t xml:space="preserve">7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 Acceso y seguridad</w:t>
            <w:tab/>
            <w:t xml:space="preserve">7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 Soporte operativo</w:t>
            <w:tab/>
            <w:t xml:space="preserve">7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 Usuarios de la app</w:t>
            <w:tab/>
            <w:t xml:space="preserve">7</w:t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 Monitoreo operativo e incidentes</w:t>
            <w:tab/>
            <w:t xml:space="preserve">8</w:t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3.5 Contenidos y marketplace</w:t>
            <w:tab/>
            <w:t xml:space="preserve">8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3.6 Moderación</w:t>
            <w:tab/>
            <w:t xml:space="preserve">8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3.7 Métricas y dashboards</w:t>
            <w:tab/>
            <w:t xml:space="preserve">8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3.8 Gestión comercial</w:t>
            <w:tab/>
            <w:t xml:space="preserve">9</w:t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3.9 Configuración y legal</w:t>
            <w:tab/>
            <w:t xml:space="preserve">9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Requisitos no funcionales</w:t>
            <w:tab/>
            <w:t xml:space="preserve">10</w:t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 Reglas de negocio</w:t>
            <w:tab/>
            <w:t xml:space="preserve">12</w:t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 Trazabilidad con los objetivos</w:t>
            <w:tab/>
            <w:t xml:space="preserve">13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Calibri" w:cs="Calibri" w:eastAsia="Calibri" w:hAnsi="Calibri"/>
        </w:rPr>
      </w:pPr>
      <w:bookmarkStart w:colFirst="0" w:colLast="0" w:name="_heading=h.lqv8c0r3d1e6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Datos del documento</w:t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inicial: requisitos funcionales, no funcionales, reglas de negocio y trazabilidad.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Cambio de plataforma de despliegue: Render (API y consola) y Neon (PostgreSQL) en lugar de Microsoft Azure. Se actualizan RNF-05, RNF-10, RNF-20 y RNF-24.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ld7mnhj2jpv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Wellq Co (AgeCare)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nyz68ggvcy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21481623-7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alv.faundez@duocuc.cl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21.830.011-1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riv.salamanca@duocuc.cl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21.382.365-5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igna.bustos@duocuc.cl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Introducción</w:t>
      </w:r>
    </w:p>
    <w:p w:rsidR="00000000" w:rsidDel="00000000" w:rsidP="00000000" w:rsidRDefault="00000000" w:rsidRPr="00000000" w14:paraId="0000007C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 Propósito</w:t>
      </w:r>
    </w:p>
    <w:p w:rsidR="00000000" w:rsidDel="00000000" w:rsidP="00000000" w:rsidRDefault="00000000" w:rsidRPr="00000000" w14:paraId="0000007D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Este documento especifica los requisitos funcionales y no funcionales de </w:t>
      </w:r>
      <w:r w:rsidDel="00000000" w:rsidR="00000000" w:rsidRPr="00000000">
        <w:rPr>
          <w:b w:val="1"/>
          <w:bCs w:val="1"/>
          <w:rtl w:val="0"/>
        </w:rPr>
        <w:t xml:space="preserve">AgeCare Administración</w:t>
      </w:r>
      <w:r w:rsidDel="00000000" w:rsidR="00000000" w:rsidRPr="00000000">
        <w:rPr>
          <w:rtl w:val="0"/>
        </w:rPr>
        <w:t xml:space="preserve">, la consola web interna con la que el equipo de Wellq Co opera la plataforma AgeCare. Es la base del Product Backlog: cada épica e historia de usuario se traza a uno o más requisitos de este documento, y cada requisito a un caso de uso del diagrama general.</w:t>
      </w:r>
    </w:p>
    <w:p w:rsidR="00000000" w:rsidDel="00000000" w:rsidP="00000000" w:rsidRDefault="00000000" w:rsidRPr="00000000" w14:paraId="0000007E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Alcance del producto</w:t>
      </w:r>
    </w:p>
    <w:p w:rsidR="00000000" w:rsidDel="00000000" w:rsidP="00000000" w:rsidRDefault="00000000" w:rsidRPr="00000000" w14:paraId="0000007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ACA centraliza la operación, el soporte y la gestión comercial de AgeCare: control de acceso del staff, soporte a usuarios, usuarios y pacientes de la app, estado operativo e incidentes, contenidos y marketplace, moderación, métricas y dashboards, planes y suscripciones, y configuración y documentos legales. Se desarrolla con Scrum entre el 10 de agosto y el 15 de noviembre de 2026.</w:t>
      </w:r>
    </w:p>
    <w:p w:rsidR="00000000" w:rsidDel="00000000" w:rsidP="00000000" w:rsidRDefault="00000000" w:rsidRPr="00000000" w14:paraId="00000080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1.3 Objetivos del negocio que soporta</w:t>
      </w:r>
    </w:p>
    <w:tbl>
      <w:tblPr>
        <w:tblStyle w:val="Table4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7738"/>
        <w:tblGridChange w:id="0">
          <w:tblGrid>
            <w:gridCol w:w="1100"/>
            <w:gridCol w:w="77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el tiempo promedio de respuesta a tickets de soporte en un 40% durante el primer trimestre.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Detectar e informar el 95% de los incidentes de latencia o caída de componentes críticos en menos de 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Aumentar la conversión de freemium a planes de pago en un 15% al sexto mes, basando las decisiones en el embudo y las métricas agregadas.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1.4 Definiciones y abreviaturas</w:t>
      </w:r>
    </w:p>
    <w:tbl>
      <w:tblPr>
        <w:tblStyle w:val="Table5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6838"/>
        <w:tblGridChange w:id="0">
          <w:tblGrid>
            <w:gridCol w:w="2000"/>
            <w:gridCol w:w="68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Personal interno de Wellq Co que usa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/ RNF / 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funcional / requisito no funcional / regla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 /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de uso del diagrama general / historia de usuario del Product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 Web Token: credencial firmada de corta duración para acceder a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temporal de 6 dígitos generado por una app autenticadora (segundo factor).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acceso basado en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MRR / CSAT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Ingreso recurrente mensual / puntaje de satisfacción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p50 /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bajo la cual se encuentra el 50% / 95% de las mediciones.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Priorización: Must (debe), Should (debería), Could (podría), Won’t (no esta versión).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1.5 Referencias</w:t>
      </w:r>
    </w:p>
    <w:p w:rsidR="00000000" w:rsidDel="00000000" w:rsidP="00000000" w:rsidRDefault="00000000" w:rsidRPr="00000000" w14:paraId="000000A1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•Diagrama de casos de uso general v2 (40 casos de uso).</w:t>
      </w:r>
    </w:p>
    <w:p w:rsidR="00000000" w:rsidDel="00000000" w:rsidP="00000000" w:rsidRDefault="00000000" w:rsidRPr="00000000" w14:paraId="000000A2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•Modelo entidad-relación lógico y relacional (Oracle Data Modeler).</w:t>
      </w:r>
    </w:p>
    <w:p w:rsidR="00000000" w:rsidDel="00000000" w:rsidP="00000000" w:rsidRDefault="00000000" w:rsidRPr="00000000" w14:paraId="000000A3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•Wireframe Consola de Administración v1 y Especificación de Endpoints v1.</w:t>
      </w:r>
    </w:p>
    <w:p w:rsidR="00000000" w:rsidDel="00000000" w:rsidP="00000000" w:rsidRDefault="00000000" w:rsidRPr="00000000" w14:paraId="000000A4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•AgeCare: Objetivos generales y específicos v1.1.</w:t>
      </w:r>
    </w:p>
    <w:p w:rsidR="00000000" w:rsidDel="00000000" w:rsidP="00000000" w:rsidRDefault="00000000" w:rsidRPr="00000000" w14:paraId="000000A5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•Documento de Visión y Roles Scrum y Documento de Épicas e Historias de Usuario (ACA).</w:t>
      </w:r>
    </w:p>
    <w:p w:rsidR="00000000" w:rsidDel="00000000" w:rsidP="00000000" w:rsidRDefault="00000000" w:rsidRPr="00000000" w14:paraId="000000A6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Descripción general</w:t>
      </w:r>
    </w:p>
    <w:p w:rsidR="00000000" w:rsidDel="00000000" w:rsidP="00000000" w:rsidRDefault="00000000" w:rsidRPr="00000000" w14:paraId="000000A7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Perspectiva del producto</w:t>
      </w:r>
    </w:p>
    <w:p w:rsidR="00000000" w:rsidDel="00000000" w:rsidP="00000000" w:rsidRDefault="00000000" w:rsidRPr="00000000" w14:paraId="000000A8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ACA es un sistema nuevo que complementa a la Plataforma AgeCare (app móvil, versión web y API principal). La consola se compone de una aplicación de página única (React, Vite y TypeScript), una API REST (FastAPI, Python 3.12) y una base de datos PostgreSQL 16; la API y la consola se publican en Render y la base de datos en Neon. Se relaciona con tres sistemas externos: la Plataforma AgeCare (fuente de usuarios, pacientes, alertas y métricas), la pasarela de pagos (eventos de pago por webhook) y el servicio de correo.</w:t>
      </w:r>
    </w:p>
    <w:p w:rsidR="00000000" w:rsidDel="00000000" w:rsidP="00000000" w:rsidRDefault="00000000" w:rsidRPr="00000000" w14:paraId="000000A9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Usuarios y roles</w:t>
      </w:r>
    </w:p>
    <w:tbl>
      <w:tblPr>
        <w:tblStyle w:val="Table6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6538"/>
        <w:tblGridChange w:id="0">
          <w:tblGrid>
            <w:gridCol w:w="2300"/>
            <w:gridCol w:w="65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total: staff, configuración, comercial y todos los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Agente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Atiende tickets y usuarios de la app; registra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dashboards, métricas y datos comerciales (solo lectura).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Editor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 contenido curado, productos y perfiles de cuidadoras.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 y decide sobre el contenido reportado por la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Planificador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 del sistema: ejecuta el monitor, publica contenido programado, cierra tickets y consolida métricas.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Pasarela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 externo: informa pagos aprobados y rechazados mediante un webhook firmado.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 Restricciones</w:t>
      </w:r>
    </w:p>
    <w:p w:rsidR="00000000" w:rsidDel="00000000" w:rsidP="00000000" w:rsidRDefault="00000000" w:rsidRPr="00000000" w14:paraId="000000BB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•Stack definido: React + Vite + TypeScript, FastAPI (Python), PostgreSQL; publicación en Render con la base en Neon.</w:t>
      </w:r>
    </w:p>
    <w:p w:rsidR="00000000" w:rsidDel="00000000" w:rsidP="00000000" w:rsidRDefault="00000000" w:rsidRPr="00000000" w14:paraId="000000BC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•Plazo: el proyecto termina la semana del 15 de noviembre de 2026; equipo de 3 integrantes.</w:t>
      </w:r>
    </w:p>
    <w:p w:rsidR="00000000" w:rsidDel="00000000" w:rsidP="00000000" w:rsidRDefault="00000000" w:rsidRPr="00000000" w14:paraId="000000BD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•Uso de licencias académicas o gratuitas (GitHub, planes gratuitos de Render y Neon, herramientas de código abierto).</w:t>
      </w:r>
    </w:p>
    <w:p w:rsidR="00000000" w:rsidDel="00000000" w:rsidP="00000000" w:rsidRDefault="00000000" w:rsidRPr="00000000" w14:paraId="000000BE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•La consola no reemplaza la API principal ni accede directamente a los datos clínicos detallados de los pacientes.</w:t>
      </w:r>
    </w:p>
    <w:p w:rsidR="00000000" w:rsidDel="00000000" w:rsidP="00000000" w:rsidRDefault="00000000" w:rsidRPr="00000000" w14:paraId="000000BF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 Supuestos y dependencias</w:t>
      </w:r>
    </w:p>
    <w:p w:rsidR="00000000" w:rsidDel="00000000" w:rsidP="00000000" w:rsidRDefault="00000000" w:rsidRPr="00000000" w14:paraId="000000C0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•Los datos de la Plataforma AgeCare (usuarios, pacientes, alertas, métricas de uso) se reciben por replicación o API; durante el desarrollo se simulan con datos de demostración.</w:t>
      </w:r>
    </w:p>
    <w:p w:rsidR="00000000" w:rsidDel="00000000" w:rsidP="00000000" w:rsidRDefault="00000000" w:rsidRPr="00000000" w14:paraId="000000C1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•La pasarela de pagos y el envío de correos se simulan en el entorno académico manteniendo el mismo contrato (webhook firmado y registro del envío).</w:t>
      </w:r>
    </w:p>
    <w:p w:rsidR="00000000" w:rsidDel="00000000" w:rsidP="00000000" w:rsidRDefault="00000000" w:rsidRPr="00000000" w14:paraId="000000C2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•Wellq Co valida las prioridades del backlog en cada Sprint Review.</w:t>
      </w:r>
    </w:p>
    <w:p w:rsidR="00000000" w:rsidDel="00000000" w:rsidP="00000000" w:rsidRDefault="00000000" w:rsidRPr="00000000" w14:paraId="000000C3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2.5 Fuera de alcance</w:t>
      </w:r>
    </w:p>
    <w:p w:rsidR="00000000" w:rsidDel="00000000" w:rsidP="00000000" w:rsidRDefault="00000000" w:rsidRPr="00000000" w14:paraId="000000C4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•Aplicación móvil, versión web para usuarios finales y módulo Director Musical.</w:t>
      </w:r>
    </w:p>
    <w:p w:rsidR="00000000" w:rsidDel="00000000" w:rsidP="00000000" w:rsidRDefault="00000000" w:rsidRPr="00000000" w14:paraId="000000C5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•Reemplazo de la API principal de AgeCare y procesamiento real de pagos.</w:t>
      </w:r>
    </w:p>
    <w:p w:rsidR="00000000" w:rsidDel="00000000" w:rsidP="00000000" w:rsidRDefault="00000000" w:rsidRPr="00000000" w14:paraId="000000C6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•Integración directa con wearables comerciales.</w:t>
      </w:r>
    </w:p>
    <w:p w:rsidR="00000000" w:rsidDel="00000000" w:rsidP="00000000" w:rsidRDefault="00000000" w:rsidRPr="00000000" w14:paraId="000000C7">
      <w:pPr>
        <w:spacing w:after="6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•Notificaciones por WhatsApp a familiares (propuesta evaluada como trabajo futuro).</w:t>
      </w:r>
    </w:p>
    <w:p w:rsidR="00000000" w:rsidDel="00000000" w:rsidP="00000000" w:rsidRDefault="00000000" w:rsidRPr="00000000" w14:paraId="000000C8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Requisitos funcionales</w:t>
      </w:r>
    </w:p>
    <w:p w:rsidR="00000000" w:rsidDel="00000000" w:rsidP="00000000" w:rsidRDefault="00000000" w:rsidRPr="00000000" w14:paraId="000000C9">
      <w:pPr>
        <w:spacing w:after="160" w:before="0" w:lineRule="auto"/>
        <w:jc w:val="both"/>
        <w:rPr/>
      </w:pPr>
      <w:r w:rsidDel="00000000" w:rsidR="00000000" w:rsidRPr="00000000">
        <w:rPr>
          <w:rtl w:val="0"/>
        </w:rPr>
        <w:t xml:space="preserve">Prioridad según MoSCoW. Las columnas CU, HU y Sprint permiten trazar cada requisito al diagrama de casos de uso, al Product Backlog y a la planificación.</w:t>
      </w:r>
    </w:p>
    <w:p w:rsidR="00000000" w:rsidDel="00000000" w:rsidP="00000000" w:rsidRDefault="00000000" w:rsidRPr="00000000" w14:paraId="000000CA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Acceso y seguridad</w:t>
      </w:r>
    </w:p>
    <w:tbl>
      <w:tblPr>
        <w:tblStyle w:val="Table7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Autenticar a los miembros del staff con correo corporativo (dominios autorizados)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Bloquear la cuenta durante 15 minutos tras 5 intentos fallidos en 10 minutos, con mensajes de error genéricos.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Mantener la sesión con un token de acceso de 15 minutos, renovarla con un refresh token rotatorio y permitir cerrar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Permitir configurar un segundo factor TOTP mediante código QR y exigirlo en el inicio de sesión cuando está activo (obligatorio para administradores).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cuentas del staff mediante invitación con enlace de activación válido por 24 horas, en el que la persona define su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Cambiar el rol, desactivar y reactivar cuentas del staff, impidiendo dejar el sistema sin un administrador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Controlar el acceso por módulo y nivel (lectura o escritura) según el rol, mostrando solo los módulos permitidos.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en una bitácora inmutable cada inicio de sesión y cada modificación de datos, y permitir consultarla con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Soporte operativo</w:t>
      </w:r>
    </w:p>
    <w:tbl>
      <w:tblPr>
        <w:tblStyle w:val="Table8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Listar los tickets con vistas (activos, asignados a mí, todos), filtros, búsqueda, orden y paginación.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tickets recibidos por cualquier canal, enlazados o no a un usuario de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Gestionar el estado del ticket según transiciones válidas, además de su asignación, prioridad y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el contexto del solicitante: estado de su cuenta, pacientes asociados y tickets previos.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respuestas públicas y notas internas, y la fecha de la primera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una encuesta de satisfacción al resolver un ticket y cerrarlo automáticamente 7 días después.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indicadores de soporte: abiertos, en curso, resueltos en 30 días, tiempo de primera respuesta, tiempo de resolución, CSAT y distribución por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Usuarios de la app</w:t>
      </w:r>
    </w:p>
    <w:tbl>
      <w:tblPr>
        <w:tblStyle w:val="Table9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Buscar usuarios de la app por nombre, correo o nombre del paciente, y mostrar su ficha con perfiles y círculos de cuidado.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Desactivar y reactivar cuentas de usuarios de la app con un motivo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Reenviar la invitación a un círculo de cuidado cuando la membresía está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3.4 Monitoreo operativo e incidentes</w:t>
      </w:r>
    </w:p>
    <w:tbl>
      <w:tblPr>
        <w:tblStyle w:val="Table10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periódicamente cada componente de la plataforma, calcular latencias p50 y p95 y uptime de 30 días, y clasificarlo como operativo, degradado o caído.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Abrir automáticamente un incidente cuando un componente falla 3 veces seguidas, sin duplicar incidentes abiertos.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el estado general de la plataforma, el de cada componente y el de cada proceso crítico de cuidado.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el resumen de alertas de pacientes por tipo (emitidas, activas, tiempo de atención) y las alertas recientes.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Registrar, actualizar y resolver incidentes y mantenimientos, exigiendo la descripción de la resolución para cerrarlos.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3.5 Contenidos y marketplace</w:t>
      </w:r>
    </w:p>
    <w:tbl>
      <w:tblPr>
        <w:tblStyle w:val="Table11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Crear, editar y eliminar (borrado lógico) contenido curado de tipo chiste o noticia.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Publicar contenido de inmediato, programarlo para una fecha futura y retirarlo del feed.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Gestionar el catálogo de productos de apoyo (nombre, categoría, proveedor, precio referencial, enlace https y estado).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Aprobar o suspender perfiles de cuidadoras según sus certificaciones verificadas, registrando el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3.6 Moderación</w:t>
      </w:r>
    </w:p>
    <w:tbl>
      <w:tblPr>
        <w:tblStyle w:val="Table12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la cola de contenido reportado priorizando los reportes de seguridad, y aprobar o rechazar con motivo y nota.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3.7 Métricas y dashboards</w:t>
      </w:r>
    </w:p>
    <w:tbl>
      <w:tblPr>
        <w:tblStyle w:val="Table13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métricas comerciales por periodo (7 días, 30 días, mes, año, 12 meses) con su variación y la serie de altas y bajas.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la mezcla de planes: usuarios, cuota, MRR y churn mensual por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el embudo de conversión freemium desde la descarga hasta 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métricas de uso por perfil de usuario en ventanas de 7, 30 y 90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la adopción de cada funcionalidad por perfil, con alertas para adopción menor a 15%.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Consolidar métricas agregadas de forma programada y bajo demanda.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3.8 Gestión comercial</w:t>
      </w:r>
    </w:p>
    <w:tbl>
      <w:tblPr>
        <w:tblStyle w:val="Table14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Configurar los planes comerciales: nombre, precio, funcionalidades incluidas y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Dar de alta y gestionar cuentas de clientes (familia o proveedor) con titular, correo de facturación, RUT y plan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Cambiar el plan de una suscripción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Cancelar suscripciones con motivo, informando la cancelación a la pasarela de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las transacciones con filtros por estado y periodo, incluidos sus reembolsos.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Recibir y procesar los eventos de la pasarela de pagos (pago aprobado o rechazado) actualizando transacciones y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Emitir reembolsos totales o parciales de transacciones aprobadas.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3.9 Configuración y legal</w:t>
      </w:r>
    </w:p>
    <w:tbl>
      <w:tblPr>
        <w:tblStyle w:val="Table15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138"/>
        <w:gridCol w:w="900"/>
        <w:gridCol w:w="680"/>
        <w:gridCol w:w="1540"/>
        <w:gridCol w:w="800"/>
        <w:tblGridChange w:id="0">
          <w:tblGrid>
            <w:gridCol w:w="780"/>
            <w:gridCol w:w="4138"/>
            <w:gridCol w:w="900"/>
            <w:gridCol w:w="680"/>
            <w:gridCol w:w="154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Configurar los rangos del semáforo (verde, amarillo, rojo) por signo vital.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Modificar los parámetros del sistema con validación de tipo, nota del cambio y control de 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Redactar versiones de términos y condiciones y de política de privacidad con numeración automática.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Publicar una versión legal, reemplazando la vigente, y exponer la versión vigente a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Requisitos no funcionales</w:t>
      </w:r>
    </w:p>
    <w:p w:rsidR="00000000" w:rsidDel="00000000" w:rsidP="00000000" w:rsidRDefault="00000000" w:rsidRPr="00000000" w14:paraId="00000221">
      <w:pPr>
        <w:spacing w:after="160" w:before="0" w:lineRule="auto"/>
        <w:jc w:val="both"/>
        <w:rPr/>
      </w:pPr>
      <w:r w:rsidDel="00000000" w:rsidR="00000000" w:rsidRPr="00000000">
        <w:rPr>
          <w:rtl w:val="0"/>
        </w:rPr>
        <w:t xml:space="preserve">Cada requisito no funcional incluye su criterio de verificación para poder comprobarlo en las pruebas del proyecto.</w:t>
      </w:r>
    </w:p>
    <w:tbl>
      <w:tblPr>
        <w:tblStyle w:val="Table16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300"/>
        <w:gridCol w:w="4188"/>
        <w:gridCol w:w="2500"/>
        <w:tblGridChange w:id="0">
          <w:tblGrid>
            <w:gridCol w:w="850"/>
            <w:gridCol w:w="1300"/>
            <w:gridCol w:w="4188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contraseñas se almacenan con hash Argon2id; nunca en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 la tabla miembro_staff y prueba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token de acceso (JWT) dura 15 minutos; el refresh token dura 12 horas, es opaco, rota en cada uso y su reutilización revoca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 automáticas de rotación y reuso.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control de acceso por rol se valida en el backend en cada endpoint, no solo en la interfaz.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Pruebas: un rol sin permiso recibe 403.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entradas se validan en la API y el acceso a datos usa consultas parametrizadas (ORM), según OWASP Top 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Escaneo OWASP ZAP sin hallazgos de riesgo alto.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 producción todo el tráfico va por HTTPS (certificado de Render) y los secretos se guardan como variables de entorno secretas en Render, fuera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 la configuración de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eventos de la pasarela se aceptan solo con firma HMAC-SHA256 válida y se procesan una sola vez (idempotencia).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Pruebas: firma inválida = 401; evento repetido no duplica.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escritura y todo inicio de sesión quedan en la bitácora con actor, fecha, IP, entidad, valor anterior y nuevo; la bitácora no se puede modificar.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automática y revisión de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consultas principales responden con p95 menor a 800 ms con 50 usuarios concurrentes.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de carga (k6 o Locust) en el Sprint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listados están paginados (máximo 100 registros por página) y los dashboards cargan en menos de 3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Medición en navegador y prueba de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API responde al health check de Render; en el plan gratuito puede suspenderse tras 15 minutos sin uso y debe estar operativa en menos de 1 minuto al recibir una visita.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Health check de Render y medición del tiempo de despertar.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caídas de componentes críticos se detectan e informan en menos de 5 minutos (OE2): verificación cada 60 s y caída tras 3 fallas.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con falla simulada.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base de datos aplica claves foráneas, restricciones CHECK y de unicidad; los cambios concurrentes de parámetros usan bloqueo optimista.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del esquema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interfaz está en español con formatos de Chile (fechas, montos en CLP) y mensajes de error que indican cómo corregir.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 pantallas.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consola funciona en pantallas desde 390 px de ancho sin desplazamiento horizontal.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E2E en escritorio y celular.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estados se comunican con ícono y texto, no solo con color; contraste según WCAG 2.1 AA; navegación por teclado en tablas y formularios.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con herramienta de accesibilidad.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Arquitectura en capas (SPA, API REST, base de datos), código tipado (TypeScript y modelos Pydantic) y control de versiones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reglas de negocio críticas tienen pruebas automáticas que se ejecutan en cada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Pipeline CI en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API está versionada (/api/v1), documentada con OpenAPI y responde los errores con un formato único (code, message, details, request_id).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Swagger disponible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esquema evoluciona solo mediante migraciones versionadas (Alembic).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alembic check sin diferencias.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se ejecuta con Docker Compose y se configura por variables de entorno; se publica en Render (API en contenedor y consola como sitio estático) con PostgreSQL en Neon.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up y despliegue con render.yaml.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Compatible con las dos últimas versiones de Chrome, Edge y Firefox.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manual por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API no guarda estado de sesión en memoria (permite escalar horizontalmente) y los dashboards leen métricas preagregadas.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 arquitectura.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Legal y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Cumplir la Ley 19.628: la consola no muestra datos clínicos detallados, el acceso es solo para personal autorizado y las versiones legales exigen re-aceptación cuando hay cambios mayores.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Revisión de pantallas y de la matriz de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RNF-24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errores de la API se registran con su request_id en los registros (logs) de Render.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Error provocado visible en los logs de Render.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Reglas de negocio</w:t>
      </w:r>
    </w:p>
    <w:tbl>
      <w:tblPr>
        <w:tblStyle w:val="Table17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7988"/>
        <w:tblGridChange w:id="0">
          <w:tblGrid>
            <w:gridCol w:w="850"/>
            <w:gridCol w:w="79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plan gratuito siempre tiene precio $0.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reembolso solo aplica a transacciones aprobadas y no puede superar el monto cobrado menos lo ya reembolsado.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siempre al menos un administrador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se aceptan cuentas del staff con correo de los dominios autorizados (wellq.co.uk y agecare.cl).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ticket resuelto se cierra automáticamente a los 7 días; un ticket cerrado no se puede modificar.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incidente solo se cierra con la descripción de su resolución; un incidente cerrado no se modifica.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Desactivar la cuenta de un usuario de la app exige un motivo de al menos 5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Rechazar contenido reportado exige un motivo; si el motivo es «otro», exige además una nota.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perfil de cuidadora solo se aprueba con al menos una certificación verificada; suspenderlo exige un motivo de al menos 10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contenido publicado no se elimina: primero se retira del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puede existir un borrador por documento legal; una versión publicada no se edita y un cambio mayor exige re-aceptación.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los umbrales del semáforo, el valor mínimo debe ser menor que el máximo.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Trazabilidad con los objetivos</w:t>
      </w:r>
    </w:p>
    <w:tbl>
      <w:tblPr>
        <w:tblStyle w:val="Table18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200"/>
        <w:gridCol w:w="4738"/>
        <w:tblGridChange w:id="0">
          <w:tblGrid>
            <w:gridCol w:w="900"/>
            <w:gridCol w:w="3200"/>
            <w:gridCol w:w="47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Requisitos que lo soportan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Cómo se mide en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RF-09 a RF-15, 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 de tiempo de primera respuesta y serie diaria de soporte (METRICA_SOPORTE_DIARIA).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RF-19 a RF-23, 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entre la primera falla y la apertura del incidente automático; estado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RF-29 a 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Conversión a pago del embudo, MRR y mezcla de planes en los dashboards.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La trazabilidad completa requisito → caso de uso → historia de usuario → sprint está en las columnas de la sección 3; el detalle de cada historia y sus criterios de aceptación está en el Documento de Épicas e Historias de Usuario y en la planilla de historias.</w:t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Requisitos, Ingeniería de Software – DuocUC</w:t>
    </w:r>
  </w:p>
  <w:p w:rsidR="00000000" w:rsidDel="00000000" w:rsidP="00000000" w:rsidRDefault="00000000" w:rsidRPr="00000000" w14:paraId="000002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Requisitos del Proyecto</w:t>
    </w:r>
  </w:p>
  <w:p w:rsidR="00000000" w:rsidDel="00000000" w:rsidP="00000000" w:rsidRDefault="00000000" w:rsidRPr="00000000" w14:paraId="000002B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HH/xs/xV7axpdfbx03tIIUe9w==">CgMxLjAyDmgub2JtazQxaG55MzY3Mg5oLmxxdjhjMHIzZDFlNjIOaC5mbGQ3bW5oajJqcHYyDmgudm55ejY4Z2d2Y3lxOAByITFaMzFRZDU0ZEIzelN3X293bDNrSnNFODdIUmVDZ01PYw==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