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00F6" w14:textId="0FE0D988" w:rsidR="00AD6308" w:rsidRPr="00385E86" w:rsidRDefault="00FB506A" w:rsidP="00385E86">
      <w:pPr>
        <w:pStyle w:val="Prrafodelista"/>
        <w:numPr>
          <w:ilvl w:val="0"/>
          <w:numId w:val="2"/>
        </w:numPr>
        <w:jc w:val="both"/>
        <w:rPr>
          <w:rFonts w:ascii="Arial" w:hAnsi="Arial" w:cs="Arial"/>
          <w:b/>
          <w:bCs/>
          <w:sz w:val="20"/>
          <w:szCs w:val="20"/>
        </w:rPr>
      </w:pPr>
      <w:r w:rsidRPr="00385E86">
        <w:rPr>
          <w:rFonts w:ascii="Arial" w:hAnsi="Arial" w:cs="Arial"/>
          <w:b/>
          <w:bCs/>
          <w:sz w:val="20"/>
          <w:szCs w:val="20"/>
        </w:rPr>
        <w:t>Alerta Normativa</w:t>
      </w:r>
      <w:r w:rsidR="00DD145D" w:rsidRPr="00385E86">
        <w:rPr>
          <w:rFonts w:ascii="Arial" w:hAnsi="Arial" w:cs="Arial"/>
          <w:b/>
          <w:bCs/>
          <w:sz w:val="20"/>
          <w:szCs w:val="20"/>
        </w:rPr>
        <w:t xml:space="preserve"> (Esto iría en vertical)</w:t>
      </w:r>
    </w:p>
    <w:p w14:paraId="0861C2D3" w14:textId="77777777" w:rsidR="00AD6308" w:rsidRPr="00385E86" w:rsidRDefault="00AD6308" w:rsidP="00385E86">
      <w:pPr>
        <w:jc w:val="both"/>
        <w:rPr>
          <w:rFonts w:ascii="Arial" w:hAnsi="Arial" w:cs="Arial"/>
          <w:sz w:val="20"/>
          <w:szCs w:val="20"/>
        </w:rPr>
      </w:pPr>
      <w:r w:rsidRPr="00385E86">
        <w:rPr>
          <w:rFonts w:ascii="Arial" w:hAnsi="Arial" w:cs="Arial"/>
          <w:b/>
          <w:bCs/>
          <w:sz w:val="20"/>
          <w:szCs w:val="20"/>
          <w:u w:val="single"/>
        </w:rPr>
        <w:t>AFIP aclaró el alcance del Impuesto a las Ganancias sobre indemnizaciones y gratificaciones abonadas con motivo de una desvinculación laboral</w:t>
      </w:r>
    </w:p>
    <w:p w14:paraId="297BCA08" w14:textId="7BA6DA3D" w:rsidR="00AD6308" w:rsidRPr="00385E86" w:rsidRDefault="00FB506A" w:rsidP="00385E86">
      <w:pPr>
        <w:jc w:val="both"/>
        <w:rPr>
          <w:rFonts w:ascii="Arial" w:hAnsi="Arial" w:cs="Arial"/>
          <w:sz w:val="20"/>
          <w:szCs w:val="20"/>
        </w:rPr>
      </w:pPr>
      <w:r w:rsidRPr="00385E86">
        <w:rPr>
          <w:rFonts w:ascii="Arial" w:hAnsi="Arial" w:cs="Arial"/>
          <w:sz w:val="20"/>
          <w:szCs w:val="20"/>
        </w:rPr>
        <w:t xml:space="preserve">Con fecha </w:t>
      </w:r>
      <w:r w:rsidR="00AD6308" w:rsidRPr="00385E86">
        <w:rPr>
          <w:rFonts w:ascii="Arial" w:hAnsi="Arial" w:cs="Arial"/>
          <w:sz w:val="20"/>
          <w:szCs w:val="20"/>
        </w:rPr>
        <w:t xml:space="preserve">14.10.2021 la Administración Federal de Ingresos Públicos publicó la circular </w:t>
      </w:r>
      <w:proofErr w:type="spellStart"/>
      <w:r w:rsidR="00AD6308" w:rsidRPr="00385E86">
        <w:rPr>
          <w:rFonts w:ascii="Arial" w:hAnsi="Arial" w:cs="Arial"/>
          <w:sz w:val="20"/>
          <w:szCs w:val="20"/>
        </w:rPr>
        <w:t>Nº</w:t>
      </w:r>
      <w:proofErr w:type="spellEnd"/>
      <w:r w:rsidR="00AD6308" w:rsidRPr="00385E86">
        <w:rPr>
          <w:rFonts w:ascii="Arial" w:hAnsi="Arial" w:cs="Arial"/>
          <w:sz w:val="20"/>
          <w:szCs w:val="20"/>
        </w:rPr>
        <w:t xml:space="preserve"> 4/2021 que </w:t>
      </w:r>
      <w:r w:rsidR="00AD6308" w:rsidRPr="00385E86">
        <w:rPr>
          <w:rFonts w:ascii="Arial" w:hAnsi="Arial" w:cs="Arial"/>
          <w:b/>
          <w:bCs/>
          <w:sz w:val="20"/>
          <w:szCs w:val="20"/>
        </w:rPr>
        <w:t>aclara el alcance del impuesto a las ganancias aplicable sobre indemnizaciones y gratificaciones por egreso</w:t>
      </w:r>
      <w:r w:rsidR="00AD6308" w:rsidRPr="00385E86">
        <w:rPr>
          <w:rFonts w:ascii="Arial" w:hAnsi="Arial" w:cs="Arial"/>
          <w:sz w:val="20"/>
          <w:szCs w:val="20"/>
        </w:rPr>
        <w:t>.</w:t>
      </w:r>
    </w:p>
    <w:p w14:paraId="0D026349" w14:textId="77777777" w:rsidR="00AD6308" w:rsidRPr="00385E86" w:rsidRDefault="00AD6308" w:rsidP="00385E86">
      <w:pPr>
        <w:jc w:val="both"/>
        <w:rPr>
          <w:rFonts w:ascii="Arial" w:hAnsi="Arial" w:cs="Arial"/>
          <w:sz w:val="20"/>
          <w:szCs w:val="20"/>
        </w:rPr>
      </w:pPr>
      <w:r w:rsidRPr="00385E86">
        <w:rPr>
          <w:rFonts w:ascii="Arial" w:hAnsi="Arial" w:cs="Arial"/>
          <w:sz w:val="20"/>
          <w:szCs w:val="20"/>
        </w:rPr>
        <w:t xml:space="preserve">Conforme la circular, </w:t>
      </w:r>
      <w:r w:rsidRPr="00385E86">
        <w:rPr>
          <w:rFonts w:ascii="Arial" w:hAnsi="Arial" w:cs="Arial"/>
          <w:b/>
          <w:bCs/>
          <w:sz w:val="20"/>
          <w:szCs w:val="20"/>
        </w:rPr>
        <w:t>las indemnizaciones y gratificaciones abonadas al egreso al personal que no se desempeña en cargos directivos y ejecutivos de empresas públicas y privadas se encuentran al margen del objeto del gravamen</w:t>
      </w:r>
      <w:r w:rsidRPr="00385E86">
        <w:rPr>
          <w:rFonts w:ascii="Arial" w:hAnsi="Arial" w:cs="Arial"/>
          <w:sz w:val="20"/>
          <w:szCs w:val="20"/>
        </w:rPr>
        <w:t>.</w:t>
      </w:r>
    </w:p>
    <w:p w14:paraId="2FA79AD9" w14:textId="77777777" w:rsidR="00AD6308" w:rsidRPr="00385E86" w:rsidRDefault="00AD6308" w:rsidP="00385E86">
      <w:pPr>
        <w:jc w:val="both"/>
        <w:rPr>
          <w:rFonts w:ascii="Arial" w:hAnsi="Arial" w:cs="Arial"/>
          <w:sz w:val="20"/>
          <w:szCs w:val="20"/>
        </w:rPr>
      </w:pPr>
      <w:r w:rsidRPr="00385E86">
        <w:rPr>
          <w:rFonts w:ascii="Arial" w:hAnsi="Arial" w:cs="Arial"/>
          <w:sz w:val="20"/>
          <w:szCs w:val="20"/>
        </w:rPr>
        <w:t xml:space="preserve">Por el contrario, </w:t>
      </w:r>
      <w:r w:rsidRPr="00385E86">
        <w:rPr>
          <w:rFonts w:ascii="Arial" w:hAnsi="Arial" w:cs="Arial"/>
          <w:b/>
          <w:bCs/>
          <w:sz w:val="20"/>
          <w:szCs w:val="20"/>
        </w:rPr>
        <w:t>aplica el pago del impuesto sobre las indemnizaciones y gratificaciones por egreso respecto del personal que se desempeña en estos cargos solamente por el monto que exceda los importes indemnizatorios previstos en el artículo 245 de la Ley de Contrato de Trabajo.</w:t>
      </w:r>
    </w:p>
    <w:p w14:paraId="4BEC3A91" w14:textId="1E4BF73F" w:rsidR="00AD6308" w:rsidRPr="00385E86" w:rsidRDefault="00AD6308" w:rsidP="00385E86">
      <w:pPr>
        <w:jc w:val="both"/>
        <w:rPr>
          <w:rFonts w:ascii="Arial" w:hAnsi="Arial" w:cs="Arial"/>
          <w:b/>
          <w:bCs/>
          <w:sz w:val="20"/>
          <w:szCs w:val="20"/>
        </w:rPr>
      </w:pPr>
      <w:r w:rsidRPr="00385E86">
        <w:rPr>
          <w:rFonts w:ascii="Arial" w:hAnsi="Arial" w:cs="Arial"/>
          <w:sz w:val="20"/>
          <w:szCs w:val="20"/>
        </w:rPr>
        <w:t xml:space="preserve">Por último, la AFIP determinó que las sumas abonadas por el empleador en estos casos por conceptos devengados con motivo de la relación laboral </w:t>
      </w:r>
      <w:r w:rsidR="00FB506A" w:rsidRPr="00385E86">
        <w:rPr>
          <w:rFonts w:ascii="Arial" w:hAnsi="Arial" w:cs="Arial"/>
          <w:sz w:val="20"/>
          <w:szCs w:val="20"/>
        </w:rPr>
        <w:t>-</w:t>
      </w:r>
      <w:r w:rsidRPr="00385E86">
        <w:rPr>
          <w:rFonts w:ascii="Arial" w:hAnsi="Arial" w:cs="Arial"/>
          <w:sz w:val="20"/>
          <w:szCs w:val="20"/>
        </w:rPr>
        <w:t>vacaciones no gozadas, sueldo anual complementario, bonificaciones convencionales, indemnización por preaviso, sueldos atrasados, entre otros</w:t>
      </w:r>
      <w:r w:rsidR="00FB506A" w:rsidRPr="00385E86">
        <w:rPr>
          <w:rFonts w:ascii="Arial" w:hAnsi="Arial" w:cs="Arial"/>
          <w:sz w:val="20"/>
          <w:szCs w:val="20"/>
        </w:rPr>
        <w:t>-</w:t>
      </w:r>
      <w:r w:rsidRPr="00385E86">
        <w:rPr>
          <w:rFonts w:ascii="Arial" w:hAnsi="Arial" w:cs="Arial"/>
          <w:sz w:val="20"/>
          <w:szCs w:val="20"/>
        </w:rPr>
        <w:t xml:space="preserve"> </w:t>
      </w:r>
      <w:r w:rsidRPr="00385E86">
        <w:rPr>
          <w:rFonts w:ascii="Arial" w:hAnsi="Arial" w:cs="Arial"/>
          <w:b/>
          <w:bCs/>
          <w:sz w:val="20"/>
          <w:szCs w:val="20"/>
        </w:rPr>
        <w:t>se encuentran alcanzadas por el gravamen, aunque el monto correspondiente a esos conceptos no sea identificado expresamente o se lo subsuma bajo otro rótulo.</w:t>
      </w:r>
    </w:p>
    <w:p w14:paraId="659A2C24" w14:textId="484B3FE3" w:rsidR="00FB506A" w:rsidRPr="00385E86" w:rsidRDefault="00FB506A" w:rsidP="00385E86">
      <w:pPr>
        <w:jc w:val="both"/>
        <w:rPr>
          <w:rFonts w:ascii="Arial" w:hAnsi="Arial" w:cs="Arial"/>
          <w:sz w:val="20"/>
          <w:szCs w:val="20"/>
        </w:rPr>
      </w:pPr>
    </w:p>
    <w:p w14:paraId="09DEC13C" w14:textId="532F322F" w:rsidR="00543D08" w:rsidRPr="00385E86" w:rsidRDefault="002A4534" w:rsidP="00385E86">
      <w:pPr>
        <w:pStyle w:val="Prrafodelista"/>
        <w:numPr>
          <w:ilvl w:val="0"/>
          <w:numId w:val="3"/>
        </w:numPr>
        <w:jc w:val="both"/>
        <w:rPr>
          <w:rFonts w:ascii="Arial" w:hAnsi="Arial" w:cs="Arial"/>
          <w:b/>
          <w:bCs/>
          <w:sz w:val="20"/>
          <w:szCs w:val="20"/>
        </w:rPr>
      </w:pPr>
      <w:r>
        <w:rPr>
          <w:rFonts w:ascii="Arial" w:hAnsi="Arial" w:cs="Arial"/>
          <w:b/>
          <w:bCs/>
          <w:sz w:val="20"/>
          <w:szCs w:val="20"/>
        </w:rPr>
        <w:t xml:space="preserve">Legal </w:t>
      </w:r>
      <w:proofErr w:type="spellStart"/>
      <w:r>
        <w:rPr>
          <w:rFonts w:ascii="Arial" w:hAnsi="Arial" w:cs="Arial"/>
          <w:b/>
          <w:bCs/>
          <w:sz w:val="20"/>
          <w:szCs w:val="20"/>
        </w:rPr>
        <w:t>Alert</w:t>
      </w:r>
      <w:proofErr w:type="spellEnd"/>
      <w:r w:rsidR="00543D08" w:rsidRPr="00385E86">
        <w:rPr>
          <w:rFonts w:ascii="Arial" w:hAnsi="Arial" w:cs="Arial"/>
          <w:b/>
          <w:bCs/>
          <w:sz w:val="20"/>
          <w:szCs w:val="20"/>
        </w:rPr>
        <w:t xml:space="preserve"> (Esto iría en vertical)</w:t>
      </w:r>
    </w:p>
    <w:p w14:paraId="6AF9FE4F" w14:textId="6358ED72" w:rsidR="00AD6308" w:rsidRPr="00385E86" w:rsidRDefault="00AD6308" w:rsidP="00385E86">
      <w:pPr>
        <w:jc w:val="both"/>
        <w:rPr>
          <w:rFonts w:ascii="Arial" w:hAnsi="Arial" w:cs="Arial"/>
          <w:b/>
          <w:bCs/>
          <w:sz w:val="20"/>
          <w:szCs w:val="20"/>
          <w:u w:val="single"/>
          <w:lang w:val="en"/>
        </w:rPr>
      </w:pPr>
      <w:r w:rsidRPr="00385E86">
        <w:rPr>
          <w:rFonts w:ascii="Arial" w:hAnsi="Arial" w:cs="Arial"/>
          <w:b/>
          <w:bCs/>
          <w:sz w:val="20"/>
          <w:szCs w:val="20"/>
          <w:u w:val="single"/>
          <w:lang w:val="en"/>
        </w:rPr>
        <w:t>AFIP clarified the scope of the Income Tax on compensation and bonuses paid due to a job termination.</w:t>
      </w:r>
    </w:p>
    <w:p w14:paraId="139E1BA1" w14:textId="33FA2C84" w:rsidR="00AD6308" w:rsidRPr="00385E86" w:rsidRDefault="00AD6308" w:rsidP="00385E86">
      <w:pPr>
        <w:jc w:val="both"/>
        <w:rPr>
          <w:rFonts w:ascii="Arial" w:hAnsi="Arial" w:cs="Arial"/>
          <w:sz w:val="20"/>
          <w:szCs w:val="20"/>
          <w:lang w:val="en"/>
        </w:rPr>
      </w:pPr>
      <w:r w:rsidRPr="00385E86">
        <w:rPr>
          <w:rFonts w:ascii="Arial" w:hAnsi="Arial" w:cs="Arial"/>
          <w:sz w:val="20"/>
          <w:szCs w:val="20"/>
          <w:lang w:val="en"/>
        </w:rPr>
        <w:t xml:space="preserve">On </w:t>
      </w:r>
      <w:r w:rsidR="00FB506A" w:rsidRPr="00385E86">
        <w:rPr>
          <w:rFonts w:ascii="Arial" w:hAnsi="Arial" w:cs="Arial"/>
          <w:sz w:val="20"/>
          <w:szCs w:val="20"/>
          <w:lang w:val="en"/>
        </w:rPr>
        <w:t>October, 14</w:t>
      </w:r>
      <w:r w:rsidR="00FB506A" w:rsidRPr="00385E86">
        <w:rPr>
          <w:rFonts w:ascii="Arial" w:hAnsi="Arial" w:cs="Arial"/>
          <w:sz w:val="20"/>
          <w:szCs w:val="20"/>
          <w:vertAlign w:val="superscript"/>
          <w:lang w:val="en"/>
        </w:rPr>
        <w:t>th</w:t>
      </w:r>
      <w:r w:rsidRPr="00385E86">
        <w:rPr>
          <w:rFonts w:ascii="Arial" w:hAnsi="Arial" w:cs="Arial"/>
          <w:sz w:val="20"/>
          <w:szCs w:val="20"/>
          <w:lang w:val="en"/>
        </w:rPr>
        <w:t xml:space="preserve"> the </w:t>
      </w:r>
      <w:r w:rsidR="00FB506A" w:rsidRPr="00385E86">
        <w:rPr>
          <w:rFonts w:ascii="Arial" w:hAnsi="Arial" w:cs="Arial"/>
          <w:sz w:val="20"/>
          <w:szCs w:val="20"/>
          <w:lang w:val="en"/>
        </w:rPr>
        <w:t>F</w:t>
      </w:r>
      <w:r w:rsidRPr="00385E86">
        <w:rPr>
          <w:rFonts w:ascii="Arial" w:hAnsi="Arial" w:cs="Arial"/>
          <w:sz w:val="20"/>
          <w:szCs w:val="20"/>
          <w:lang w:val="en"/>
        </w:rPr>
        <w:t xml:space="preserve">ederal </w:t>
      </w:r>
      <w:r w:rsidR="00FB506A" w:rsidRPr="00385E86">
        <w:rPr>
          <w:rFonts w:ascii="Arial" w:hAnsi="Arial" w:cs="Arial"/>
          <w:sz w:val="20"/>
          <w:szCs w:val="20"/>
          <w:lang w:val="en"/>
        </w:rPr>
        <w:t>T</w:t>
      </w:r>
      <w:r w:rsidRPr="00385E86">
        <w:rPr>
          <w:rFonts w:ascii="Arial" w:hAnsi="Arial" w:cs="Arial"/>
          <w:sz w:val="20"/>
          <w:szCs w:val="20"/>
          <w:lang w:val="en"/>
        </w:rPr>
        <w:t xml:space="preserve">ax </w:t>
      </w:r>
      <w:r w:rsidR="00FB506A" w:rsidRPr="00385E86">
        <w:rPr>
          <w:rFonts w:ascii="Arial" w:hAnsi="Arial" w:cs="Arial"/>
          <w:sz w:val="20"/>
          <w:szCs w:val="20"/>
          <w:lang w:val="en"/>
        </w:rPr>
        <w:t>A</w:t>
      </w:r>
      <w:r w:rsidR="00225A1F" w:rsidRPr="00385E86">
        <w:rPr>
          <w:rFonts w:ascii="Arial" w:hAnsi="Arial" w:cs="Arial"/>
          <w:sz w:val="20"/>
          <w:szCs w:val="20"/>
          <w:lang w:val="en"/>
        </w:rPr>
        <w:t>uthority</w:t>
      </w:r>
      <w:r w:rsidRPr="00385E86">
        <w:rPr>
          <w:rFonts w:ascii="Arial" w:hAnsi="Arial" w:cs="Arial"/>
          <w:sz w:val="20"/>
          <w:szCs w:val="20"/>
          <w:lang w:val="en"/>
        </w:rPr>
        <w:t xml:space="preserve"> published Circular Nº 4/2021 that </w:t>
      </w:r>
      <w:r w:rsidRPr="00385E86">
        <w:rPr>
          <w:rFonts w:ascii="Arial" w:hAnsi="Arial" w:cs="Arial"/>
          <w:b/>
          <w:bCs/>
          <w:sz w:val="20"/>
          <w:szCs w:val="20"/>
          <w:lang w:val="en"/>
        </w:rPr>
        <w:t>clarifies the scope of the income tax applicable to severance payments and termination bonuses.</w:t>
      </w:r>
    </w:p>
    <w:p w14:paraId="3396BDF0" w14:textId="77777777" w:rsidR="00AD6308" w:rsidRPr="00385E86" w:rsidRDefault="00AD6308" w:rsidP="00385E86">
      <w:pPr>
        <w:jc w:val="both"/>
        <w:rPr>
          <w:rFonts w:ascii="Arial" w:hAnsi="Arial" w:cs="Arial"/>
          <w:b/>
          <w:bCs/>
          <w:sz w:val="20"/>
          <w:szCs w:val="20"/>
          <w:lang w:val="en"/>
        </w:rPr>
      </w:pPr>
      <w:r w:rsidRPr="00385E86">
        <w:rPr>
          <w:rFonts w:ascii="Arial" w:hAnsi="Arial" w:cs="Arial"/>
          <w:sz w:val="20"/>
          <w:szCs w:val="20"/>
          <w:lang w:val="en"/>
        </w:rPr>
        <w:t xml:space="preserve">According to the circular, </w:t>
      </w:r>
      <w:r w:rsidRPr="00385E86">
        <w:rPr>
          <w:rFonts w:ascii="Arial" w:hAnsi="Arial" w:cs="Arial"/>
          <w:b/>
          <w:bCs/>
          <w:sz w:val="20"/>
          <w:szCs w:val="20"/>
          <w:lang w:val="en"/>
        </w:rPr>
        <w:t>the compensation and bonuses paid upon discharge to personnel who do not hold managerial and executive positions in public and private companies are outside the scope of the tax.</w:t>
      </w:r>
    </w:p>
    <w:p w14:paraId="390180D9" w14:textId="6B1230FD" w:rsidR="00AD6308" w:rsidRPr="00385E86" w:rsidRDefault="00AD6308" w:rsidP="00385E86">
      <w:pPr>
        <w:jc w:val="both"/>
        <w:rPr>
          <w:rFonts w:ascii="Arial" w:hAnsi="Arial" w:cs="Arial"/>
          <w:b/>
          <w:bCs/>
          <w:sz w:val="20"/>
          <w:szCs w:val="20"/>
          <w:lang w:val="en"/>
        </w:rPr>
      </w:pPr>
      <w:r w:rsidRPr="00385E86">
        <w:rPr>
          <w:rFonts w:ascii="Arial" w:hAnsi="Arial" w:cs="Arial"/>
          <w:sz w:val="20"/>
          <w:szCs w:val="20"/>
          <w:lang w:val="en"/>
        </w:rPr>
        <w:t xml:space="preserve">On </w:t>
      </w:r>
      <w:r w:rsidR="00FB506A" w:rsidRPr="00385E86">
        <w:rPr>
          <w:rFonts w:ascii="Arial" w:hAnsi="Arial" w:cs="Arial"/>
          <w:sz w:val="20"/>
          <w:szCs w:val="20"/>
          <w:lang w:val="en"/>
        </w:rPr>
        <w:t>the other hand</w:t>
      </w:r>
      <w:r w:rsidRPr="00385E86">
        <w:rPr>
          <w:rFonts w:ascii="Arial" w:hAnsi="Arial" w:cs="Arial"/>
          <w:sz w:val="20"/>
          <w:szCs w:val="20"/>
          <w:lang w:val="en"/>
        </w:rPr>
        <w:t xml:space="preserve">, </w:t>
      </w:r>
      <w:r w:rsidRPr="00385E86">
        <w:rPr>
          <w:rFonts w:ascii="Arial" w:hAnsi="Arial" w:cs="Arial"/>
          <w:b/>
          <w:bCs/>
          <w:sz w:val="20"/>
          <w:szCs w:val="20"/>
          <w:lang w:val="en"/>
        </w:rPr>
        <w:t>the payment of the tax on severance and termination bonuses applies to the personnel who perform these positions only for the amount that exceeds the compensation amounts provided for in article 245 of the Labor Contract Law.</w:t>
      </w:r>
    </w:p>
    <w:p w14:paraId="09B8C473" w14:textId="6DA0EF78" w:rsidR="00AD6308" w:rsidRPr="00385E86" w:rsidRDefault="00AD6308" w:rsidP="00385E86">
      <w:pPr>
        <w:jc w:val="both"/>
        <w:rPr>
          <w:rFonts w:ascii="Arial" w:hAnsi="Arial" w:cs="Arial"/>
          <w:b/>
          <w:bCs/>
          <w:sz w:val="20"/>
          <w:szCs w:val="20"/>
          <w:lang w:val="en"/>
        </w:rPr>
      </w:pPr>
      <w:r w:rsidRPr="00385E86">
        <w:rPr>
          <w:rFonts w:ascii="Arial" w:hAnsi="Arial" w:cs="Arial"/>
          <w:sz w:val="20"/>
          <w:szCs w:val="20"/>
          <w:lang w:val="en"/>
        </w:rPr>
        <w:t xml:space="preserve">Finally, AFIP determined that the amounts paid by the employer in these cases for items accrued as a result of the employment relationship (vacations not taken, supplementary annual salary, conventional bonuses, compensation for notice, wages, among others) </w:t>
      </w:r>
      <w:r w:rsidRPr="00385E86">
        <w:rPr>
          <w:rFonts w:ascii="Arial" w:hAnsi="Arial" w:cs="Arial"/>
          <w:b/>
          <w:bCs/>
          <w:sz w:val="20"/>
          <w:szCs w:val="20"/>
          <w:lang w:val="en"/>
        </w:rPr>
        <w:t xml:space="preserve">have been reached for the </w:t>
      </w:r>
      <w:r w:rsidR="00FB506A" w:rsidRPr="00385E86">
        <w:rPr>
          <w:rFonts w:ascii="Arial" w:hAnsi="Arial" w:cs="Arial"/>
          <w:b/>
          <w:bCs/>
          <w:sz w:val="20"/>
          <w:szCs w:val="20"/>
          <w:lang w:val="en"/>
        </w:rPr>
        <w:t>tax</w:t>
      </w:r>
      <w:r w:rsidR="00DD145D" w:rsidRPr="00385E86">
        <w:rPr>
          <w:rFonts w:ascii="Arial" w:hAnsi="Arial" w:cs="Arial"/>
          <w:b/>
          <w:bCs/>
          <w:sz w:val="20"/>
          <w:szCs w:val="20"/>
          <w:lang w:val="en"/>
        </w:rPr>
        <w:t>+</w:t>
      </w:r>
      <w:r w:rsidRPr="00385E86">
        <w:rPr>
          <w:rFonts w:ascii="Arial" w:hAnsi="Arial" w:cs="Arial"/>
          <w:b/>
          <w:bCs/>
          <w:sz w:val="20"/>
          <w:szCs w:val="20"/>
          <w:lang w:val="en"/>
        </w:rPr>
        <w:t>, although the amount corresponding to those concepts is not expressly identified or is subsumed under another label.</w:t>
      </w:r>
    </w:p>
    <w:p w14:paraId="49AAB974" w14:textId="77777777" w:rsidR="00543D08" w:rsidRPr="00385E86" w:rsidRDefault="00543D08" w:rsidP="00385E86">
      <w:pPr>
        <w:jc w:val="both"/>
        <w:rPr>
          <w:rFonts w:ascii="Arial" w:hAnsi="Arial" w:cs="Arial"/>
          <w:b/>
          <w:bCs/>
          <w:sz w:val="20"/>
          <w:szCs w:val="20"/>
        </w:rPr>
      </w:pPr>
    </w:p>
    <w:p w14:paraId="74B90328" w14:textId="1F7AC7E0" w:rsidR="00385E86" w:rsidRPr="00385E86" w:rsidRDefault="00385E86" w:rsidP="00385E86">
      <w:pPr>
        <w:jc w:val="both"/>
        <w:rPr>
          <w:rFonts w:ascii="Arial" w:hAnsi="Arial" w:cs="Arial"/>
          <w:b/>
          <w:bCs/>
          <w:sz w:val="20"/>
          <w:szCs w:val="20"/>
        </w:rPr>
      </w:pPr>
      <w:r w:rsidRPr="00385E86">
        <w:rPr>
          <w:rFonts w:ascii="Arial" w:hAnsi="Arial" w:cs="Arial"/>
          <w:b/>
          <w:bCs/>
          <w:sz w:val="20"/>
          <w:szCs w:val="20"/>
        </w:rPr>
        <w:br w:type="page"/>
      </w:r>
    </w:p>
    <w:p w14:paraId="445293E6" w14:textId="77777777" w:rsidR="009F60F1" w:rsidRPr="00385E86" w:rsidRDefault="009F60F1" w:rsidP="00385E86">
      <w:pPr>
        <w:pStyle w:val="Prrafodelista"/>
        <w:jc w:val="both"/>
        <w:rPr>
          <w:rFonts w:ascii="Arial" w:hAnsi="Arial" w:cs="Arial"/>
          <w:b/>
          <w:bCs/>
          <w:sz w:val="20"/>
          <w:szCs w:val="20"/>
        </w:rPr>
      </w:pPr>
    </w:p>
    <w:p w14:paraId="39410172" w14:textId="77777777" w:rsidR="009F60F1" w:rsidRPr="00385E86" w:rsidRDefault="009F60F1" w:rsidP="00385E86">
      <w:pPr>
        <w:pStyle w:val="Prrafodelista"/>
        <w:jc w:val="both"/>
        <w:rPr>
          <w:rFonts w:ascii="Arial" w:hAnsi="Arial" w:cs="Arial"/>
          <w:b/>
          <w:bCs/>
          <w:sz w:val="20"/>
          <w:szCs w:val="20"/>
        </w:rPr>
      </w:pPr>
    </w:p>
    <w:p w14:paraId="15C17C1A" w14:textId="77777777" w:rsidR="009F60F1" w:rsidRPr="00385E86" w:rsidRDefault="009F60F1" w:rsidP="00385E86">
      <w:pPr>
        <w:pStyle w:val="Prrafodelista"/>
        <w:jc w:val="both"/>
        <w:rPr>
          <w:rFonts w:ascii="Arial" w:hAnsi="Arial" w:cs="Arial"/>
          <w:b/>
          <w:bCs/>
          <w:sz w:val="20"/>
          <w:szCs w:val="20"/>
        </w:rPr>
      </w:pPr>
    </w:p>
    <w:p w14:paraId="520FC98D" w14:textId="0DE14284" w:rsidR="00DD145D" w:rsidRPr="00385E86" w:rsidRDefault="00543D08" w:rsidP="00385E86">
      <w:pPr>
        <w:pStyle w:val="Prrafodelista"/>
        <w:numPr>
          <w:ilvl w:val="0"/>
          <w:numId w:val="3"/>
        </w:numPr>
        <w:jc w:val="both"/>
        <w:rPr>
          <w:rFonts w:ascii="Arial" w:hAnsi="Arial" w:cs="Arial"/>
          <w:b/>
          <w:bCs/>
          <w:sz w:val="20"/>
          <w:szCs w:val="20"/>
        </w:rPr>
      </w:pPr>
      <w:r w:rsidRPr="00385E86">
        <w:rPr>
          <w:rFonts w:ascii="Arial" w:hAnsi="Arial" w:cs="Arial"/>
          <w:b/>
          <w:bCs/>
          <w:sz w:val="20"/>
          <w:szCs w:val="20"/>
        </w:rPr>
        <w:t>Asesoramiento</w:t>
      </w:r>
      <w:r w:rsidRPr="00385E86">
        <w:rPr>
          <w:rFonts w:ascii="Arial" w:hAnsi="Arial" w:cs="Arial"/>
          <w:b/>
          <w:bCs/>
          <w:sz w:val="20"/>
          <w:szCs w:val="20"/>
        </w:rPr>
        <w:t xml:space="preserve"> (Esto iría en vertical)</w:t>
      </w:r>
    </w:p>
    <w:p w14:paraId="0EE07293" w14:textId="7B47C130" w:rsidR="00DD145D" w:rsidRPr="00385E86" w:rsidRDefault="00DD145D" w:rsidP="00385E86">
      <w:pPr>
        <w:jc w:val="both"/>
        <w:rPr>
          <w:rFonts w:ascii="Arial" w:hAnsi="Arial" w:cs="Arial"/>
          <w:b/>
          <w:bCs/>
          <w:sz w:val="20"/>
          <w:szCs w:val="20"/>
          <w:u w:val="single"/>
        </w:rPr>
      </w:pPr>
      <w:r w:rsidRPr="00385E86">
        <w:rPr>
          <w:rFonts w:ascii="Arial" w:hAnsi="Arial" w:cs="Arial"/>
          <w:b/>
          <w:bCs/>
          <w:sz w:val="20"/>
          <w:szCs w:val="20"/>
          <w:u w:val="single"/>
        </w:rPr>
        <w:t xml:space="preserve">Con el asesoramiento de HSR Abogados, se realizó la adquisición de </w:t>
      </w:r>
      <w:proofErr w:type="spellStart"/>
      <w:r w:rsidRPr="00385E86">
        <w:rPr>
          <w:rFonts w:ascii="Arial" w:hAnsi="Arial" w:cs="Arial"/>
          <w:b/>
          <w:bCs/>
          <w:sz w:val="20"/>
          <w:szCs w:val="20"/>
          <w:u w:val="single"/>
        </w:rPr>
        <w:t>Drogueria</w:t>
      </w:r>
      <w:proofErr w:type="spellEnd"/>
      <w:r w:rsidRPr="00385E86">
        <w:rPr>
          <w:rFonts w:ascii="Arial" w:hAnsi="Arial" w:cs="Arial"/>
          <w:b/>
          <w:bCs/>
          <w:sz w:val="20"/>
          <w:szCs w:val="20"/>
          <w:u w:val="single"/>
        </w:rPr>
        <w:t xml:space="preserve"> </w:t>
      </w:r>
      <w:proofErr w:type="spellStart"/>
      <w:r w:rsidRPr="00385E86">
        <w:rPr>
          <w:rFonts w:ascii="Arial" w:hAnsi="Arial" w:cs="Arial"/>
          <w:b/>
          <w:bCs/>
          <w:sz w:val="20"/>
          <w:szCs w:val="20"/>
          <w:u w:val="single"/>
        </w:rPr>
        <w:t>Distrisam</w:t>
      </w:r>
      <w:proofErr w:type="spellEnd"/>
      <w:r w:rsidRPr="00385E86">
        <w:rPr>
          <w:rFonts w:ascii="Arial" w:hAnsi="Arial" w:cs="Arial"/>
          <w:b/>
          <w:bCs/>
          <w:sz w:val="20"/>
          <w:szCs w:val="20"/>
          <w:u w:val="single"/>
        </w:rPr>
        <w:t xml:space="preserve"> y Farmacia Tradic</w:t>
      </w:r>
      <w:r w:rsidR="00543D08" w:rsidRPr="00385E86">
        <w:rPr>
          <w:rFonts w:ascii="Arial" w:hAnsi="Arial" w:cs="Arial"/>
          <w:b/>
          <w:bCs/>
          <w:sz w:val="20"/>
          <w:szCs w:val="20"/>
          <w:u w:val="single"/>
        </w:rPr>
        <w:t>ional</w:t>
      </w:r>
    </w:p>
    <w:p w14:paraId="16F34873" w14:textId="4F785EC5" w:rsidR="00DD145D" w:rsidRPr="00385E86" w:rsidRDefault="00DD145D" w:rsidP="00385E86">
      <w:pPr>
        <w:shd w:val="clear" w:color="auto" w:fill="FFFFFF"/>
        <w:spacing w:after="150" w:line="240" w:lineRule="auto"/>
        <w:jc w:val="both"/>
        <w:rPr>
          <w:rFonts w:ascii="Arial" w:eastAsia="Times New Roman" w:hAnsi="Arial" w:cs="Arial"/>
          <w:sz w:val="20"/>
          <w:szCs w:val="20"/>
          <w:lang w:eastAsia="es-AR"/>
        </w:rPr>
      </w:pPr>
      <w:r w:rsidRPr="00385E86">
        <w:rPr>
          <w:rFonts w:ascii="Arial" w:eastAsia="Times New Roman" w:hAnsi="Arial" w:cs="Arial"/>
          <w:b/>
          <w:bCs/>
          <w:sz w:val="20"/>
          <w:szCs w:val="20"/>
          <w:lang w:eastAsia="es-AR"/>
        </w:rPr>
        <w:t>Hang Kuchen, Sporleder &amp; Rodriguez Morales Abogados</w:t>
      </w:r>
      <w:r w:rsidRPr="00DD145D">
        <w:rPr>
          <w:rFonts w:ascii="Arial" w:eastAsia="Times New Roman" w:hAnsi="Arial" w:cs="Arial"/>
          <w:sz w:val="20"/>
          <w:szCs w:val="20"/>
          <w:lang w:eastAsia="es-AR"/>
        </w:rPr>
        <w:t>, asesoró a</w:t>
      </w:r>
      <w:r w:rsidRPr="00385E86">
        <w:rPr>
          <w:rFonts w:ascii="Arial" w:eastAsia="Times New Roman" w:hAnsi="Arial" w:cs="Arial"/>
          <w:sz w:val="20"/>
          <w:szCs w:val="20"/>
          <w:lang w:eastAsia="es-AR"/>
        </w:rPr>
        <w:t xml:space="preserve"> los Sres. </w:t>
      </w:r>
      <w:r w:rsidR="00543D08" w:rsidRPr="00385E86">
        <w:rPr>
          <w:rFonts w:ascii="Arial" w:eastAsia="Times New Roman" w:hAnsi="Arial" w:cs="Arial"/>
          <w:sz w:val="20"/>
          <w:szCs w:val="20"/>
          <w:lang w:eastAsia="es-AR"/>
        </w:rPr>
        <w:t xml:space="preserve">Gonzalo Carugati, </w:t>
      </w:r>
      <w:r w:rsidRPr="00385E86">
        <w:rPr>
          <w:rFonts w:ascii="Arial" w:eastAsia="Times New Roman" w:hAnsi="Arial" w:cs="Arial"/>
          <w:sz w:val="20"/>
          <w:szCs w:val="20"/>
          <w:lang w:eastAsia="es-AR"/>
        </w:rPr>
        <w:t xml:space="preserve">Martín </w:t>
      </w:r>
      <w:proofErr w:type="spellStart"/>
      <w:r w:rsidRPr="00385E86">
        <w:rPr>
          <w:rFonts w:ascii="Arial" w:eastAsia="Times New Roman" w:hAnsi="Arial" w:cs="Arial"/>
          <w:sz w:val="20"/>
          <w:szCs w:val="20"/>
          <w:lang w:eastAsia="es-AR"/>
        </w:rPr>
        <w:t>Kfuri</w:t>
      </w:r>
      <w:proofErr w:type="spellEnd"/>
      <w:r w:rsidRPr="00385E86">
        <w:rPr>
          <w:rFonts w:ascii="Arial" w:eastAsia="Times New Roman" w:hAnsi="Arial" w:cs="Arial"/>
          <w:sz w:val="20"/>
          <w:szCs w:val="20"/>
          <w:lang w:eastAsia="es-AR"/>
        </w:rPr>
        <w:t xml:space="preserve"> y María Laura Benitez en la adquisición del 100% del capital social y votos de </w:t>
      </w:r>
      <w:proofErr w:type="spellStart"/>
      <w:r w:rsidR="00543D08" w:rsidRPr="00385E86">
        <w:rPr>
          <w:rFonts w:ascii="Arial" w:eastAsia="Times New Roman" w:hAnsi="Arial" w:cs="Arial"/>
          <w:b/>
          <w:bCs/>
          <w:sz w:val="20"/>
          <w:szCs w:val="20"/>
          <w:lang w:eastAsia="es-AR"/>
        </w:rPr>
        <w:t>Distrisam</w:t>
      </w:r>
      <w:proofErr w:type="spellEnd"/>
      <w:r w:rsidR="00543D08" w:rsidRPr="00385E86">
        <w:rPr>
          <w:rFonts w:ascii="Arial" w:eastAsia="Times New Roman" w:hAnsi="Arial" w:cs="Arial"/>
          <w:b/>
          <w:bCs/>
          <w:sz w:val="20"/>
          <w:szCs w:val="20"/>
          <w:lang w:eastAsia="es-AR"/>
        </w:rPr>
        <w:t xml:space="preserve"> S.A.</w:t>
      </w:r>
      <w:r w:rsidR="00543D08" w:rsidRPr="00385E86">
        <w:rPr>
          <w:rFonts w:ascii="Arial" w:eastAsia="Times New Roman" w:hAnsi="Arial" w:cs="Arial"/>
          <w:sz w:val="20"/>
          <w:szCs w:val="20"/>
          <w:lang w:eastAsia="es-AR"/>
        </w:rPr>
        <w:t xml:space="preserve"> y </w:t>
      </w:r>
      <w:r w:rsidR="00543D08" w:rsidRPr="00385E86">
        <w:rPr>
          <w:rFonts w:ascii="Arial" w:eastAsia="Times New Roman" w:hAnsi="Arial" w:cs="Arial"/>
          <w:b/>
          <w:bCs/>
          <w:sz w:val="20"/>
          <w:szCs w:val="20"/>
          <w:lang w:eastAsia="es-AR"/>
        </w:rPr>
        <w:t>Tradicional S.R.L.</w:t>
      </w:r>
      <w:r w:rsidR="00543D08" w:rsidRPr="00385E86">
        <w:rPr>
          <w:rFonts w:ascii="Arial" w:eastAsia="Times New Roman" w:hAnsi="Arial" w:cs="Arial"/>
          <w:sz w:val="20"/>
          <w:szCs w:val="20"/>
          <w:lang w:eastAsia="es-AR"/>
        </w:rPr>
        <w:t>, junto con todos sus activos y negocios en curso. Los documentos de cierre fueron suscriptos entre el 8 y el 17 de septiembre de 2021.</w:t>
      </w:r>
    </w:p>
    <w:p w14:paraId="7C8DF010" w14:textId="2A42A611" w:rsidR="00543D08" w:rsidRPr="00385E86" w:rsidRDefault="00DD145D" w:rsidP="00385E86">
      <w:pPr>
        <w:shd w:val="clear" w:color="auto" w:fill="FFFFFF"/>
        <w:spacing w:after="150" w:line="240" w:lineRule="auto"/>
        <w:jc w:val="both"/>
        <w:rPr>
          <w:rFonts w:ascii="Arial" w:eastAsia="Times New Roman" w:hAnsi="Arial" w:cs="Arial"/>
          <w:sz w:val="20"/>
          <w:szCs w:val="20"/>
          <w:lang w:eastAsia="es-AR"/>
        </w:rPr>
      </w:pPr>
      <w:r w:rsidRPr="00DD145D">
        <w:rPr>
          <w:rFonts w:ascii="Arial" w:eastAsia="Times New Roman" w:hAnsi="Arial" w:cs="Arial"/>
          <w:sz w:val="20"/>
          <w:szCs w:val="20"/>
          <w:lang w:eastAsia="es-AR"/>
        </w:rPr>
        <w:t xml:space="preserve">Por parte de </w:t>
      </w:r>
      <w:r w:rsidR="00543D08" w:rsidRPr="00385E86">
        <w:rPr>
          <w:rFonts w:ascii="Arial" w:eastAsia="Times New Roman" w:hAnsi="Arial" w:cs="Arial"/>
          <w:sz w:val="20"/>
          <w:szCs w:val="20"/>
          <w:lang w:eastAsia="es-AR"/>
        </w:rPr>
        <w:t>HSR</w:t>
      </w:r>
      <w:r w:rsidRPr="00DD145D">
        <w:rPr>
          <w:rFonts w:ascii="Arial" w:eastAsia="Times New Roman" w:hAnsi="Arial" w:cs="Arial"/>
          <w:sz w:val="20"/>
          <w:szCs w:val="20"/>
          <w:lang w:eastAsia="es-AR"/>
        </w:rPr>
        <w:t xml:space="preserve">, la transacción fue liderada por </w:t>
      </w:r>
      <w:r w:rsidR="00543D08" w:rsidRPr="00385E86">
        <w:rPr>
          <w:rFonts w:ascii="Arial" w:eastAsia="Times New Roman" w:hAnsi="Arial" w:cs="Arial"/>
          <w:sz w:val="20"/>
          <w:szCs w:val="20"/>
          <w:lang w:eastAsia="es-AR"/>
        </w:rPr>
        <w:t xml:space="preserve">el socio </w:t>
      </w:r>
      <w:r w:rsidR="00543D08" w:rsidRPr="00385E86">
        <w:rPr>
          <w:rFonts w:ascii="Arial" w:eastAsia="Times New Roman" w:hAnsi="Arial" w:cs="Arial"/>
          <w:b/>
          <w:bCs/>
          <w:sz w:val="20"/>
          <w:szCs w:val="20"/>
          <w:lang w:eastAsia="es-AR"/>
        </w:rPr>
        <w:t>Manfred Hang Kuchen</w:t>
      </w:r>
      <w:r w:rsidR="00543D08" w:rsidRPr="00385E86">
        <w:rPr>
          <w:rFonts w:ascii="Arial" w:eastAsia="Times New Roman" w:hAnsi="Arial" w:cs="Arial"/>
          <w:sz w:val="20"/>
          <w:szCs w:val="20"/>
          <w:lang w:eastAsia="es-AR"/>
        </w:rPr>
        <w:t xml:space="preserve">, junto con los asociados </w:t>
      </w:r>
      <w:r w:rsidR="00543D08" w:rsidRPr="00385E86">
        <w:rPr>
          <w:rFonts w:ascii="Arial" w:eastAsia="Times New Roman" w:hAnsi="Arial" w:cs="Arial"/>
          <w:b/>
          <w:bCs/>
          <w:sz w:val="20"/>
          <w:szCs w:val="20"/>
          <w:lang w:eastAsia="es-AR"/>
        </w:rPr>
        <w:t xml:space="preserve">Jesica </w:t>
      </w:r>
      <w:proofErr w:type="spellStart"/>
      <w:r w:rsidR="00543D08" w:rsidRPr="00385E86">
        <w:rPr>
          <w:rFonts w:ascii="Arial" w:eastAsia="Times New Roman" w:hAnsi="Arial" w:cs="Arial"/>
          <w:b/>
          <w:bCs/>
          <w:sz w:val="20"/>
          <w:szCs w:val="20"/>
          <w:lang w:eastAsia="es-AR"/>
        </w:rPr>
        <w:t>Villette</w:t>
      </w:r>
      <w:proofErr w:type="spellEnd"/>
      <w:r w:rsidR="00543D08" w:rsidRPr="00385E86">
        <w:rPr>
          <w:rFonts w:ascii="Arial" w:eastAsia="Times New Roman" w:hAnsi="Arial" w:cs="Arial"/>
          <w:sz w:val="20"/>
          <w:szCs w:val="20"/>
          <w:lang w:eastAsia="es-AR"/>
        </w:rPr>
        <w:t xml:space="preserve"> e </w:t>
      </w:r>
      <w:r w:rsidR="00543D08" w:rsidRPr="00385E86">
        <w:rPr>
          <w:rFonts w:ascii="Arial" w:eastAsia="Times New Roman" w:hAnsi="Arial" w:cs="Arial"/>
          <w:b/>
          <w:bCs/>
          <w:sz w:val="20"/>
          <w:szCs w:val="20"/>
          <w:lang w:eastAsia="es-AR"/>
        </w:rPr>
        <w:t>Ignacio Borgo</w:t>
      </w:r>
      <w:r w:rsidR="00543D08" w:rsidRPr="00385E86">
        <w:rPr>
          <w:rFonts w:ascii="Arial" w:eastAsia="Times New Roman" w:hAnsi="Arial" w:cs="Arial"/>
          <w:sz w:val="20"/>
          <w:szCs w:val="20"/>
          <w:lang w:eastAsia="es-AR"/>
        </w:rPr>
        <w:t>.</w:t>
      </w:r>
    </w:p>
    <w:p w14:paraId="59E993B8" w14:textId="70D4E6DD" w:rsidR="00543D08" w:rsidRPr="00385E86" w:rsidRDefault="00543D08" w:rsidP="00385E86">
      <w:pPr>
        <w:shd w:val="clear" w:color="auto" w:fill="FFFFFF"/>
        <w:spacing w:after="150" w:line="240" w:lineRule="auto"/>
        <w:jc w:val="both"/>
        <w:rPr>
          <w:rFonts w:ascii="Arial" w:eastAsia="Times New Roman" w:hAnsi="Arial" w:cs="Arial"/>
          <w:sz w:val="20"/>
          <w:szCs w:val="20"/>
          <w:lang w:eastAsia="es-AR"/>
        </w:rPr>
      </w:pPr>
    </w:p>
    <w:p w14:paraId="32A99124" w14:textId="6116C2DB" w:rsidR="00543D08" w:rsidRPr="00385E86" w:rsidRDefault="00543D08" w:rsidP="00385E86">
      <w:pPr>
        <w:pStyle w:val="Prrafodelista"/>
        <w:numPr>
          <w:ilvl w:val="0"/>
          <w:numId w:val="2"/>
        </w:numPr>
        <w:shd w:val="clear" w:color="auto" w:fill="FFFFFF"/>
        <w:spacing w:after="150" w:line="240" w:lineRule="auto"/>
        <w:jc w:val="both"/>
        <w:rPr>
          <w:rFonts w:ascii="Arial" w:eastAsia="Times New Roman" w:hAnsi="Arial" w:cs="Arial"/>
          <w:b/>
          <w:bCs/>
          <w:sz w:val="20"/>
          <w:szCs w:val="20"/>
          <w:lang w:eastAsia="es-AR"/>
        </w:rPr>
      </w:pPr>
      <w:proofErr w:type="spellStart"/>
      <w:r w:rsidRPr="00385E86">
        <w:rPr>
          <w:rFonts w:ascii="Arial" w:eastAsia="Times New Roman" w:hAnsi="Arial" w:cs="Arial"/>
          <w:b/>
          <w:bCs/>
          <w:sz w:val="20"/>
          <w:szCs w:val="20"/>
          <w:lang w:eastAsia="es-AR"/>
        </w:rPr>
        <w:t>Transaction</w:t>
      </w:r>
      <w:proofErr w:type="spellEnd"/>
      <w:r w:rsidRPr="00385E86">
        <w:rPr>
          <w:rFonts w:ascii="Arial" w:eastAsia="Times New Roman" w:hAnsi="Arial" w:cs="Arial"/>
          <w:b/>
          <w:bCs/>
          <w:sz w:val="20"/>
          <w:szCs w:val="20"/>
          <w:lang w:eastAsia="es-AR"/>
        </w:rPr>
        <w:t xml:space="preserve"> (Esto iría en vertical)</w:t>
      </w:r>
    </w:p>
    <w:p w14:paraId="14A96CBC" w14:textId="382D7348" w:rsidR="00543D08" w:rsidRPr="00385E86" w:rsidRDefault="00543D08" w:rsidP="00385E86">
      <w:pPr>
        <w:shd w:val="clear" w:color="auto" w:fill="FFFFFF"/>
        <w:spacing w:after="150" w:line="240" w:lineRule="auto"/>
        <w:jc w:val="both"/>
        <w:rPr>
          <w:rFonts w:ascii="Arial" w:eastAsia="Times New Roman" w:hAnsi="Arial" w:cs="Arial"/>
          <w:sz w:val="20"/>
          <w:szCs w:val="20"/>
          <w:lang w:eastAsia="es-AR"/>
        </w:rPr>
      </w:pPr>
    </w:p>
    <w:p w14:paraId="496452BC" w14:textId="13D26E75" w:rsidR="00543D08" w:rsidRPr="00385E86" w:rsidRDefault="00543D08" w:rsidP="00385E86">
      <w:pPr>
        <w:shd w:val="clear" w:color="auto" w:fill="FFFFFF"/>
        <w:spacing w:after="150" w:line="240" w:lineRule="auto"/>
        <w:jc w:val="both"/>
        <w:rPr>
          <w:rFonts w:ascii="Arial" w:eastAsia="Times New Roman" w:hAnsi="Arial" w:cs="Arial"/>
          <w:b/>
          <w:bCs/>
          <w:sz w:val="20"/>
          <w:szCs w:val="20"/>
          <w:u w:val="single"/>
          <w:lang w:eastAsia="es-AR"/>
        </w:rPr>
      </w:pPr>
      <w:proofErr w:type="spellStart"/>
      <w:r w:rsidRPr="00385E86">
        <w:rPr>
          <w:rFonts w:ascii="Arial" w:eastAsia="Times New Roman" w:hAnsi="Arial" w:cs="Arial"/>
          <w:b/>
          <w:bCs/>
          <w:sz w:val="20"/>
          <w:szCs w:val="20"/>
          <w:u w:val="single"/>
          <w:lang w:eastAsia="es-AR"/>
        </w:rPr>
        <w:t>Aquisition</w:t>
      </w:r>
      <w:proofErr w:type="spellEnd"/>
      <w:r w:rsidRPr="00385E86">
        <w:rPr>
          <w:rFonts w:ascii="Arial" w:eastAsia="Times New Roman" w:hAnsi="Arial" w:cs="Arial"/>
          <w:b/>
          <w:bCs/>
          <w:sz w:val="20"/>
          <w:szCs w:val="20"/>
          <w:u w:val="single"/>
          <w:lang w:eastAsia="es-AR"/>
        </w:rPr>
        <w:t xml:space="preserve">: </w:t>
      </w:r>
      <w:proofErr w:type="spellStart"/>
      <w:r w:rsidRPr="00385E86">
        <w:rPr>
          <w:rFonts w:ascii="Arial" w:eastAsia="Times New Roman" w:hAnsi="Arial" w:cs="Arial"/>
          <w:b/>
          <w:bCs/>
          <w:sz w:val="20"/>
          <w:szCs w:val="20"/>
          <w:u w:val="single"/>
          <w:lang w:eastAsia="es-AR"/>
        </w:rPr>
        <w:t>Drogueria</w:t>
      </w:r>
      <w:proofErr w:type="spellEnd"/>
      <w:r w:rsidRPr="00385E86">
        <w:rPr>
          <w:rFonts w:ascii="Arial" w:eastAsia="Times New Roman" w:hAnsi="Arial" w:cs="Arial"/>
          <w:b/>
          <w:bCs/>
          <w:sz w:val="20"/>
          <w:szCs w:val="20"/>
          <w:u w:val="single"/>
          <w:lang w:eastAsia="es-AR"/>
        </w:rPr>
        <w:t xml:space="preserve"> </w:t>
      </w:r>
      <w:proofErr w:type="spellStart"/>
      <w:r w:rsidRPr="00385E86">
        <w:rPr>
          <w:rFonts w:ascii="Arial" w:eastAsia="Times New Roman" w:hAnsi="Arial" w:cs="Arial"/>
          <w:b/>
          <w:bCs/>
          <w:sz w:val="20"/>
          <w:szCs w:val="20"/>
          <w:u w:val="single"/>
          <w:lang w:eastAsia="es-AR"/>
        </w:rPr>
        <w:t>Distrisam</w:t>
      </w:r>
      <w:proofErr w:type="spellEnd"/>
      <w:r w:rsidRPr="00385E86">
        <w:rPr>
          <w:rFonts w:ascii="Arial" w:eastAsia="Times New Roman" w:hAnsi="Arial" w:cs="Arial"/>
          <w:b/>
          <w:bCs/>
          <w:sz w:val="20"/>
          <w:szCs w:val="20"/>
          <w:u w:val="single"/>
          <w:lang w:eastAsia="es-AR"/>
        </w:rPr>
        <w:t xml:space="preserve"> and Farmacia Tradicional</w:t>
      </w:r>
    </w:p>
    <w:p w14:paraId="0AE44311" w14:textId="71ED9E5E" w:rsidR="00543D08" w:rsidRPr="00385E86" w:rsidRDefault="00543D08" w:rsidP="00385E86">
      <w:pPr>
        <w:shd w:val="clear" w:color="auto" w:fill="FFFFFF"/>
        <w:spacing w:after="150" w:line="240" w:lineRule="auto"/>
        <w:jc w:val="both"/>
        <w:rPr>
          <w:rFonts w:ascii="Arial" w:eastAsia="Times New Roman" w:hAnsi="Arial" w:cs="Arial"/>
          <w:sz w:val="20"/>
          <w:szCs w:val="20"/>
          <w:lang w:eastAsia="es-AR"/>
        </w:rPr>
      </w:pPr>
    </w:p>
    <w:p w14:paraId="724A9647" w14:textId="74990269" w:rsidR="00543D08" w:rsidRPr="00385E86" w:rsidRDefault="00543D08" w:rsidP="00385E86">
      <w:pPr>
        <w:shd w:val="clear" w:color="auto" w:fill="FFFFFF"/>
        <w:spacing w:after="150" w:line="240" w:lineRule="auto"/>
        <w:jc w:val="both"/>
        <w:rPr>
          <w:rFonts w:ascii="Arial" w:eastAsia="Times New Roman" w:hAnsi="Arial" w:cs="Arial"/>
          <w:sz w:val="20"/>
          <w:szCs w:val="20"/>
          <w:lang w:val="en-US" w:eastAsia="es-AR"/>
        </w:rPr>
      </w:pPr>
      <w:r w:rsidRPr="00385E86">
        <w:rPr>
          <w:rFonts w:ascii="Arial" w:eastAsia="Times New Roman" w:hAnsi="Arial" w:cs="Arial"/>
          <w:b/>
          <w:bCs/>
          <w:sz w:val="20"/>
          <w:szCs w:val="20"/>
          <w:lang w:val="en-US" w:eastAsia="es-AR"/>
        </w:rPr>
        <w:t>Hang Kuchen, Sporleder &amp; Rodríguez Morales Abogados</w:t>
      </w:r>
      <w:r w:rsidRPr="00385E86">
        <w:rPr>
          <w:rFonts w:ascii="Arial" w:eastAsia="Times New Roman" w:hAnsi="Arial" w:cs="Arial"/>
          <w:sz w:val="20"/>
          <w:szCs w:val="20"/>
          <w:lang w:val="en-US" w:eastAsia="es-AR"/>
        </w:rPr>
        <w:t xml:space="preserve">, advised Messrs. Gonzalo Carugati, Martín </w:t>
      </w:r>
      <w:proofErr w:type="spellStart"/>
      <w:r w:rsidRPr="00385E86">
        <w:rPr>
          <w:rFonts w:ascii="Arial" w:eastAsia="Times New Roman" w:hAnsi="Arial" w:cs="Arial"/>
          <w:sz w:val="20"/>
          <w:szCs w:val="20"/>
          <w:lang w:val="en-US" w:eastAsia="es-AR"/>
        </w:rPr>
        <w:t>Kfuri</w:t>
      </w:r>
      <w:proofErr w:type="spellEnd"/>
      <w:r w:rsidRPr="00385E86">
        <w:rPr>
          <w:rFonts w:ascii="Arial" w:eastAsia="Times New Roman" w:hAnsi="Arial" w:cs="Arial"/>
          <w:sz w:val="20"/>
          <w:szCs w:val="20"/>
          <w:lang w:val="en-US" w:eastAsia="es-AR"/>
        </w:rPr>
        <w:t xml:space="preserve"> and María Laura Benitez in the </w:t>
      </w:r>
      <w:proofErr w:type="spellStart"/>
      <w:r w:rsidRPr="00385E86">
        <w:rPr>
          <w:rFonts w:ascii="Arial" w:eastAsia="Times New Roman" w:hAnsi="Arial" w:cs="Arial"/>
          <w:sz w:val="20"/>
          <w:szCs w:val="20"/>
          <w:lang w:val="en-US" w:eastAsia="es-AR"/>
        </w:rPr>
        <w:t>adquisition</w:t>
      </w:r>
      <w:proofErr w:type="spellEnd"/>
      <w:r w:rsidRPr="00385E86">
        <w:rPr>
          <w:rFonts w:ascii="Arial" w:eastAsia="Times New Roman" w:hAnsi="Arial" w:cs="Arial"/>
          <w:sz w:val="20"/>
          <w:szCs w:val="20"/>
          <w:lang w:val="en-US" w:eastAsia="es-AR"/>
        </w:rPr>
        <w:t xml:space="preserve"> of 100% of the capital stock and votes of </w:t>
      </w:r>
      <w:proofErr w:type="spellStart"/>
      <w:r w:rsidRPr="00385E86">
        <w:rPr>
          <w:rFonts w:ascii="Arial" w:eastAsia="Times New Roman" w:hAnsi="Arial" w:cs="Arial"/>
          <w:b/>
          <w:bCs/>
          <w:sz w:val="20"/>
          <w:szCs w:val="20"/>
          <w:lang w:val="en-US" w:eastAsia="es-AR"/>
        </w:rPr>
        <w:t>Distrisam</w:t>
      </w:r>
      <w:proofErr w:type="spellEnd"/>
      <w:r w:rsidRPr="00385E86">
        <w:rPr>
          <w:rFonts w:ascii="Arial" w:eastAsia="Times New Roman" w:hAnsi="Arial" w:cs="Arial"/>
          <w:b/>
          <w:bCs/>
          <w:sz w:val="20"/>
          <w:szCs w:val="20"/>
          <w:lang w:val="en-US" w:eastAsia="es-AR"/>
        </w:rPr>
        <w:t xml:space="preserve"> S.A. </w:t>
      </w:r>
      <w:r w:rsidRPr="00385E86">
        <w:rPr>
          <w:rFonts w:ascii="Arial" w:eastAsia="Times New Roman" w:hAnsi="Arial" w:cs="Arial"/>
          <w:sz w:val="20"/>
          <w:szCs w:val="20"/>
          <w:lang w:val="en-US" w:eastAsia="es-AR"/>
        </w:rPr>
        <w:t xml:space="preserve">and </w:t>
      </w:r>
      <w:proofErr w:type="spellStart"/>
      <w:r w:rsidRPr="00385E86">
        <w:rPr>
          <w:rFonts w:ascii="Arial" w:eastAsia="Times New Roman" w:hAnsi="Arial" w:cs="Arial"/>
          <w:b/>
          <w:bCs/>
          <w:sz w:val="20"/>
          <w:szCs w:val="20"/>
          <w:lang w:val="en-US" w:eastAsia="es-AR"/>
        </w:rPr>
        <w:t>Tradicional</w:t>
      </w:r>
      <w:proofErr w:type="spellEnd"/>
      <w:r w:rsidRPr="00385E86">
        <w:rPr>
          <w:rFonts w:ascii="Arial" w:eastAsia="Times New Roman" w:hAnsi="Arial" w:cs="Arial"/>
          <w:b/>
          <w:bCs/>
          <w:sz w:val="20"/>
          <w:szCs w:val="20"/>
          <w:lang w:val="en-US" w:eastAsia="es-AR"/>
        </w:rPr>
        <w:t xml:space="preserve"> S.R.L</w:t>
      </w:r>
      <w:r w:rsidRPr="00385E86">
        <w:rPr>
          <w:rFonts w:ascii="Arial" w:eastAsia="Times New Roman" w:hAnsi="Arial" w:cs="Arial"/>
          <w:sz w:val="20"/>
          <w:szCs w:val="20"/>
          <w:lang w:val="en-US" w:eastAsia="es-AR"/>
        </w:rPr>
        <w:t>.; including all its assets and ongoing businesses. The closing documents were executed between September 8</w:t>
      </w:r>
      <w:r w:rsidRPr="00385E86">
        <w:rPr>
          <w:rFonts w:ascii="Arial" w:eastAsia="Times New Roman" w:hAnsi="Arial" w:cs="Arial"/>
          <w:sz w:val="20"/>
          <w:szCs w:val="20"/>
          <w:vertAlign w:val="superscript"/>
          <w:lang w:val="en-US" w:eastAsia="es-AR"/>
        </w:rPr>
        <w:t>th</w:t>
      </w:r>
      <w:r w:rsidRPr="00385E86">
        <w:rPr>
          <w:rFonts w:ascii="Arial" w:eastAsia="Times New Roman" w:hAnsi="Arial" w:cs="Arial"/>
          <w:sz w:val="20"/>
          <w:szCs w:val="20"/>
          <w:lang w:val="en-US" w:eastAsia="es-AR"/>
        </w:rPr>
        <w:t xml:space="preserve"> and September 27</w:t>
      </w:r>
      <w:r w:rsidRPr="00385E86">
        <w:rPr>
          <w:rFonts w:ascii="Arial" w:eastAsia="Times New Roman" w:hAnsi="Arial" w:cs="Arial"/>
          <w:sz w:val="20"/>
          <w:szCs w:val="20"/>
          <w:vertAlign w:val="superscript"/>
          <w:lang w:val="en-US" w:eastAsia="es-AR"/>
        </w:rPr>
        <w:t>th</w:t>
      </w:r>
      <w:r w:rsidRPr="00385E86">
        <w:rPr>
          <w:rFonts w:ascii="Arial" w:eastAsia="Times New Roman" w:hAnsi="Arial" w:cs="Arial"/>
          <w:sz w:val="20"/>
          <w:szCs w:val="20"/>
          <w:lang w:val="en-US" w:eastAsia="es-AR"/>
        </w:rPr>
        <w:t>, 2021.</w:t>
      </w:r>
    </w:p>
    <w:p w14:paraId="5856DA1A" w14:textId="2B794488" w:rsidR="009F60F1" w:rsidRPr="00385E86" w:rsidRDefault="009F60F1" w:rsidP="00385E86">
      <w:pPr>
        <w:shd w:val="clear" w:color="auto" w:fill="FFFFFF"/>
        <w:spacing w:after="150" w:line="240" w:lineRule="auto"/>
        <w:jc w:val="both"/>
        <w:rPr>
          <w:rFonts w:ascii="Arial" w:eastAsia="Times New Roman" w:hAnsi="Arial" w:cs="Arial"/>
          <w:sz w:val="20"/>
          <w:szCs w:val="20"/>
          <w:lang w:val="en-US" w:eastAsia="es-AR"/>
        </w:rPr>
      </w:pPr>
      <w:r w:rsidRPr="00385E86">
        <w:rPr>
          <w:rFonts w:ascii="Arial" w:eastAsia="Times New Roman" w:hAnsi="Arial" w:cs="Arial"/>
          <w:sz w:val="20"/>
          <w:szCs w:val="20"/>
          <w:lang w:val="en-US" w:eastAsia="es-AR"/>
        </w:rPr>
        <w:t xml:space="preserve">HSR Abogados advised the buyers with a team including </w:t>
      </w:r>
      <w:r w:rsidRPr="00385E86">
        <w:rPr>
          <w:rFonts w:ascii="Arial" w:eastAsia="Times New Roman" w:hAnsi="Arial" w:cs="Arial"/>
          <w:b/>
          <w:bCs/>
          <w:sz w:val="20"/>
          <w:szCs w:val="20"/>
          <w:lang w:val="en-US" w:eastAsia="es-AR"/>
        </w:rPr>
        <w:t>Manfred Hang Kuchen</w:t>
      </w:r>
      <w:r w:rsidRPr="00385E86">
        <w:rPr>
          <w:rFonts w:ascii="Arial" w:eastAsia="Times New Roman" w:hAnsi="Arial" w:cs="Arial"/>
          <w:sz w:val="20"/>
          <w:szCs w:val="20"/>
          <w:lang w:val="en-US" w:eastAsia="es-AR"/>
        </w:rPr>
        <w:t xml:space="preserve"> (partner), </w:t>
      </w:r>
      <w:proofErr w:type="spellStart"/>
      <w:r w:rsidRPr="00385E86">
        <w:rPr>
          <w:rFonts w:ascii="Arial" w:eastAsia="Times New Roman" w:hAnsi="Arial" w:cs="Arial"/>
          <w:b/>
          <w:bCs/>
          <w:sz w:val="20"/>
          <w:szCs w:val="20"/>
          <w:lang w:val="en-US" w:eastAsia="es-AR"/>
        </w:rPr>
        <w:t>Jesica</w:t>
      </w:r>
      <w:proofErr w:type="spellEnd"/>
      <w:r w:rsidRPr="00385E86">
        <w:rPr>
          <w:rFonts w:ascii="Arial" w:eastAsia="Times New Roman" w:hAnsi="Arial" w:cs="Arial"/>
          <w:b/>
          <w:bCs/>
          <w:sz w:val="20"/>
          <w:szCs w:val="20"/>
          <w:lang w:val="en-US" w:eastAsia="es-AR"/>
        </w:rPr>
        <w:t xml:space="preserve"> Villette</w:t>
      </w:r>
      <w:r w:rsidRPr="00385E86">
        <w:rPr>
          <w:rFonts w:ascii="Arial" w:eastAsia="Times New Roman" w:hAnsi="Arial" w:cs="Arial"/>
          <w:sz w:val="20"/>
          <w:szCs w:val="20"/>
          <w:lang w:val="en-US" w:eastAsia="es-AR"/>
        </w:rPr>
        <w:t xml:space="preserve"> and </w:t>
      </w:r>
      <w:r w:rsidRPr="00385E86">
        <w:rPr>
          <w:rFonts w:ascii="Arial" w:eastAsia="Times New Roman" w:hAnsi="Arial" w:cs="Arial"/>
          <w:b/>
          <w:bCs/>
          <w:sz w:val="20"/>
          <w:szCs w:val="20"/>
          <w:lang w:val="en-US" w:eastAsia="es-AR"/>
        </w:rPr>
        <w:t>Ignacio Borgo</w:t>
      </w:r>
      <w:r w:rsidRPr="00385E86">
        <w:rPr>
          <w:rFonts w:ascii="Arial" w:eastAsia="Times New Roman" w:hAnsi="Arial" w:cs="Arial"/>
          <w:sz w:val="20"/>
          <w:szCs w:val="20"/>
          <w:lang w:val="en-US" w:eastAsia="es-AR"/>
        </w:rPr>
        <w:t xml:space="preserve"> (associates).</w:t>
      </w:r>
    </w:p>
    <w:p w14:paraId="053E9E56" w14:textId="2D33AA48" w:rsidR="009F60F1" w:rsidRPr="00385E86" w:rsidRDefault="009F60F1" w:rsidP="00385E86">
      <w:pPr>
        <w:jc w:val="both"/>
        <w:rPr>
          <w:rFonts w:ascii="Arial" w:eastAsia="Times New Roman" w:hAnsi="Arial" w:cs="Arial"/>
          <w:i/>
          <w:iCs/>
          <w:sz w:val="20"/>
          <w:szCs w:val="20"/>
          <w:lang w:val="en-US" w:eastAsia="es-AR"/>
        </w:rPr>
      </w:pPr>
      <w:r w:rsidRPr="00385E86">
        <w:rPr>
          <w:rFonts w:ascii="Arial" w:eastAsia="Times New Roman" w:hAnsi="Arial" w:cs="Arial"/>
          <w:i/>
          <w:iCs/>
          <w:sz w:val="20"/>
          <w:szCs w:val="20"/>
          <w:lang w:val="en-US" w:eastAsia="es-AR"/>
        </w:rPr>
        <w:br w:type="page"/>
      </w:r>
    </w:p>
    <w:p w14:paraId="32185A02" w14:textId="77777777" w:rsidR="009F60F1" w:rsidRPr="00385E86" w:rsidRDefault="009F60F1" w:rsidP="00385E86">
      <w:pPr>
        <w:shd w:val="clear" w:color="auto" w:fill="FFFFFF"/>
        <w:spacing w:after="150" w:line="240" w:lineRule="auto"/>
        <w:jc w:val="both"/>
        <w:rPr>
          <w:rFonts w:ascii="Arial" w:eastAsia="Times New Roman" w:hAnsi="Arial" w:cs="Arial"/>
          <w:i/>
          <w:iCs/>
          <w:sz w:val="20"/>
          <w:szCs w:val="20"/>
          <w:lang w:val="en-US" w:eastAsia="es-AR"/>
        </w:rPr>
      </w:pPr>
    </w:p>
    <w:p w14:paraId="7A59F295" w14:textId="67BC3317" w:rsidR="009F60F1" w:rsidRPr="00385E86" w:rsidRDefault="009F60F1" w:rsidP="00385E86">
      <w:pPr>
        <w:shd w:val="clear" w:color="auto" w:fill="FFFFFF"/>
        <w:spacing w:after="150" w:line="240" w:lineRule="auto"/>
        <w:jc w:val="both"/>
        <w:rPr>
          <w:rFonts w:ascii="Arial" w:eastAsia="Times New Roman" w:hAnsi="Arial" w:cs="Arial"/>
          <w:i/>
          <w:iCs/>
          <w:sz w:val="20"/>
          <w:szCs w:val="20"/>
          <w:lang w:val="en-US" w:eastAsia="es-AR"/>
        </w:rPr>
      </w:pPr>
    </w:p>
    <w:p w14:paraId="4FD212E2" w14:textId="77777777" w:rsidR="009F60F1" w:rsidRPr="00385E86" w:rsidRDefault="009F60F1" w:rsidP="00385E86">
      <w:pPr>
        <w:pStyle w:val="Prrafodelista"/>
        <w:numPr>
          <w:ilvl w:val="0"/>
          <w:numId w:val="3"/>
        </w:numPr>
        <w:jc w:val="both"/>
        <w:rPr>
          <w:rFonts w:ascii="Arial" w:hAnsi="Arial" w:cs="Arial"/>
          <w:b/>
          <w:bCs/>
          <w:sz w:val="20"/>
          <w:szCs w:val="20"/>
        </w:rPr>
      </w:pPr>
      <w:r w:rsidRPr="00385E86">
        <w:rPr>
          <w:rFonts w:ascii="Arial" w:hAnsi="Arial" w:cs="Arial"/>
          <w:b/>
          <w:bCs/>
          <w:sz w:val="20"/>
          <w:szCs w:val="20"/>
        </w:rPr>
        <w:t>Asesoramiento (Esto iría en vertical)</w:t>
      </w:r>
    </w:p>
    <w:p w14:paraId="492B46BC" w14:textId="7ABB181D" w:rsidR="009F60F1" w:rsidRPr="00385E86" w:rsidRDefault="009F60F1" w:rsidP="00385E86">
      <w:pPr>
        <w:jc w:val="both"/>
        <w:rPr>
          <w:rFonts w:ascii="Arial" w:hAnsi="Arial" w:cs="Arial"/>
          <w:b/>
          <w:bCs/>
          <w:sz w:val="20"/>
          <w:szCs w:val="20"/>
          <w:u w:val="single"/>
        </w:rPr>
      </w:pPr>
      <w:r w:rsidRPr="00385E86">
        <w:rPr>
          <w:rFonts w:ascii="Arial" w:eastAsia="Times New Roman" w:hAnsi="Arial" w:cs="Arial"/>
          <w:b/>
          <w:bCs/>
          <w:sz w:val="20"/>
          <w:szCs w:val="20"/>
          <w:u w:val="single"/>
          <w:lang w:eastAsia="es-AR"/>
        </w:rPr>
        <w:t>Hang Kuchen, Sporleder &amp; Rodriguez Morales Abogados</w:t>
      </w:r>
      <w:r w:rsidRPr="00385E86">
        <w:rPr>
          <w:rFonts w:ascii="Arial" w:eastAsia="Times New Roman" w:hAnsi="Arial" w:cs="Arial"/>
          <w:b/>
          <w:bCs/>
          <w:sz w:val="20"/>
          <w:szCs w:val="20"/>
          <w:u w:val="single"/>
          <w:lang w:eastAsia="es-AR"/>
        </w:rPr>
        <w:t xml:space="preserve"> asiste a HIDRACO en sus reclamos ante la Dirección de Vialidad Nacional (DNV)</w:t>
      </w:r>
    </w:p>
    <w:p w14:paraId="67130C33" w14:textId="30E69439" w:rsidR="009F60F1" w:rsidRPr="00385E86" w:rsidRDefault="00385E86" w:rsidP="00385E86">
      <w:pPr>
        <w:shd w:val="clear" w:color="auto" w:fill="FFFFFF"/>
        <w:spacing w:after="150" w:line="240" w:lineRule="auto"/>
        <w:jc w:val="both"/>
        <w:rPr>
          <w:rFonts w:ascii="Arial" w:eastAsia="Times New Roman" w:hAnsi="Arial" w:cs="Arial"/>
          <w:sz w:val="20"/>
          <w:szCs w:val="20"/>
          <w:lang w:eastAsia="es-AR"/>
        </w:rPr>
      </w:pPr>
      <w:r w:rsidRPr="00385E86">
        <w:rPr>
          <w:rFonts w:ascii="Arial" w:eastAsia="Times New Roman" w:hAnsi="Arial" w:cs="Arial"/>
          <w:sz w:val="20"/>
          <w:szCs w:val="20"/>
          <w:lang w:eastAsia="es-AR"/>
        </w:rPr>
        <w:t>En octubre de 2021,</w:t>
      </w:r>
      <w:r>
        <w:rPr>
          <w:rFonts w:ascii="Arial" w:eastAsia="Times New Roman" w:hAnsi="Arial" w:cs="Arial"/>
          <w:b/>
          <w:bCs/>
          <w:sz w:val="20"/>
          <w:szCs w:val="20"/>
          <w:lang w:eastAsia="es-AR"/>
        </w:rPr>
        <w:t xml:space="preserve"> </w:t>
      </w:r>
      <w:r w:rsidR="009F60F1" w:rsidRPr="00385E86">
        <w:rPr>
          <w:rFonts w:ascii="Arial" w:eastAsia="Times New Roman" w:hAnsi="Arial" w:cs="Arial"/>
          <w:b/>
          <w:bCs/>
          <w:sz w:val="20"/>
          <w:szCs w:val="20"/>
          <w:lang w:eastAsia="es-AR"/>
        </w:rPr>
        <w:t>Hang Kuchen, Sporleder &amp; Rodriguez Morales Abogados</w:t>
      </w:r>
      <w:r w:rsidR="009F60F1" w:rsidRPr="00DD145D">
        <w:rPr>
          <w:rFonts w:ascii="Arial" w:eastAsia="Times New Roman" w:hAnsi="Arial" w:cs="Arial"/>
          <w:sz w:val="20"/>
          <w:szCs w:val="20"/>
          <w:lang w:eastAsia="es-AR"/>
        </w:rPr>
        <w:t>, asesoró a</w:t>
      </w:r>
      <w:r w:rsidR="009F60F1" w:rsidRPr="00385E86">
        <w:rPr>
          <w:rFonts w:ascii="Arial" w:eastAsia="Times New Roman" w:hAnsi="Arial" w:cs="Arial"/>
          <w:sz w:val="20"/>
          <w:szCs w:val="20"/>
          <w:lang w:eastAsia="es-AR"/>
        </w:rPr>
        <w:t xml:space="preserve"> </w:t>
      </w:r>
      <w:r w:rsidR="009F60F1" w:rsidRPr="00385E86">
        <w:rPr>
          <w:rFonts w:ascii="Arial" w:eastAsia="Times New Roman" w:hAnsi="Arial" w:cs="Arial"/>
          <w:b/>
          <w:bCs/>
          <w:sz w:val="20"/>
          <w:szCs w:val="20"/>
          <w:lang w:eastAsia="es-AR"/>
        </w:rPr>
        <w:t>HIDRACO S.A.</w:t>
      </w:r>
      <w:r w:rsidR="009F60F1" w:rsidRPr="00385E86">
        <w:rPr>
          <w:rFonts w:ascii="Arial" w:eastAsia="Times New Roman" w:hAnsi="Arial" w:cs="Arial"/>
          <w:sz w:val="20"/>
          <w:szCs w:val="20"/>
          <w:lang w:eastAsia="es-AR"/>
        </w:rPr>
        <w:t xml:space="preserve"> en sus reclamaciones administrativas ante la </w:t>
      </w:r>
      <w:r w:rsidR="009F60F1" w:rsidRPr="00385E86">
        <w:rPr>
          <w:rFonts w:ascii="Arial" w:eastAsia="Times New Roman" w:hAnsi="Arial" w:cs="Arial"/>
          <w:b/>
          <w:bCs/>
          <w:sz w:val="20"/>
          <w:szCs w:val="20"/>
          <w:lang w:eastAsia="es-AR"/>
        </w:rPr>
        <w:t xml:space="preserve">Dirección de Vialidad Nacional (DNV) </w:t>
      </w:r>
      <w:r w:rsidR="009F60F1" w:rsidRPr="00385E86">
        <w:rPr>
          <w:rFonts w:ascii="Arial" w:eastAsia="Times New Roman" w:hAnsi="Arial" w:cs="Arial"/>
          <w:sz w:val="20"/>
          <w:szCs w:val="20"/>
          <w:lang w:eastAsia="es-AR"/>
        </w:rPr>
        <w:t xml:space="preserve">con motivo de la obra pública para la recuperación y mantenimiento de la Carretera </w:t>
      </w:r>
      <w:proofErr w:type="spellStart"/>
      <w:r w:rsidR="009F60F1" w:rsidRPr="00385E86">
        <w:rPr>
          <w:rFonts w:ascii="Arial" w:eastAsia="Times New Roman" w:hAnsi="Arial" w:cs="Arial"/>
          <w:sz w:val="20"/>
          <w:szCs w:val="20"/>
          <w:lang w:eastAsia="es-AR"/>
        </w:rPr>
        <w:t>N°</w:t>
      </w:r>
      <w:proofErr w:type="spellEnd"/>
      <w:r w:rsidR="009F60F1" w:rsidRPr="00385E86">
        <w:rPr>
          <w:rFonts w:ascii="Arial" w:eastAsia="Times New Roman" w:hAnsi="Arial" w:cs="Arial"/>
          <w:sz w:val="20"/>
          <w:szCs w:val="20"/>
          <w:lang w:eastAsia="es-AR"/>
        </w:rPr>
        <w:t xml:space="preserve"> 114, comprensiva de tramos de la Ruta Nacional </w:t>
      </w:r>
      <w:proofErr w:type="spellStart"/>
      <w:r w:rsidR="009F60F1" w:rsidRPr="00385E86">
        <w:rPr>
          <w:rFonts w:ascii="Arial" w:eastAsia="Times New Roman" w:hAnsi="Arial" w:cs="Arial"/>
          <w:sz w:val="20"/>
          <w:szCs w:val="20"/>
          <w:lang w:eastAsia="es-AR"/>
        </w:rPr>
        <w:t>N°</w:t>
      </w:r>
      <w:proofErr w:type="spellEnd"/>
      <w:r w:rsidR="009F60F1" w:rsidRPr="00385E86">
        <w:rPr>
          <w:rFonts w:ascii="Arial" w:eastAsia="Times New Roman" w:hAnsi="Arial" w:cs="Arial"/>
          <w:sz w:val="20"/>
          <w:szCs w:val="20"/>
          <w:lang w:eastAsia="es-AR"/>
        </w:rPr>
        <w:t xml:space="preserve"> 40, provincia de Rio Negro.</w:t>
      </w:r>
    </w:p>
    <w:p w14:paraId="31E3B91A" w14:textId="387F4C8C" w:rsidR="009F60F1" w:rsidRPr="00385E86" w:rsidRDefault="009F60F1" w:rsidP="00385E86">
      <w:pPr>
        <w:shd w:val="clear" w:color="auto" w:fill="FFFFFF"/>
        <w:spacing w:after="150" w:line="240" w:lineRule="auto"/>
        <w:jc w:val="both"/>
        <w:rPr>
          <w:rFonts w:ascii="Arial" w:eastAsia="Times New Roman" w:hAnsi="Arial" w:cs="Arial"/>
          <w:sz w:val="20"/>
          <w:szCs w:val="20"/>
          <w:lang w:eastAsia="es-AR"/>
        </w:rPr>
      </w:pPr>
      <w:r w:rsidRPr="00DD145D">
        <w:rPr>
          <w:rFonts w:ascii="Arial" w:eastAsia="Times New Roman" w:hAnsi="Arial" w:cs="Arial"/>
          <w:sz w:val="20"/>
          <w:szCs w:val="20"/>
          <w:lang w:eastAsia="es-AR"/>
        </w:rPr>
        <w:t xml:space="preserve">Por parte de </w:t>
      </w:r>
      <w:r w:rsidRPr="00385E86">
        <w:rPr>
          <w:rFonts w:ascii="Arial" w:eastAsia="Times New Roman" w:hAnsi="Arial" w:cs="Arial"/>
          <w:sz w:val="20"/>
          <w:szCs w:val="20"/>
          <w:lang w:eastAsia="es-AR"/>
        </w:rPr>
        <w:t>HSR</w:t>
      </w:r>
      <w:r w:rsidRPr="00DD145D">
        <w:rPr>
          <w:rFonts w:ascii="Arial" w:eastAsia="Times New Roman" w:hAnsi="Arial" w:cs="Arial"/>
          <w:sz w:val="20"/>
          <w:szCs w:val="20"/>
          <w:lang w:eastAsia="es-AR"/>
        </w:rPr>
        <w:t xml:space="preserve">, la transacción fue liderada por </w:t>
      </w:r>
      <w:r w:rsidRPr="00385E86">
        <w:rPr>
          <w:rFonts w:ascii="Arial" w:eastAsia="Times New Roman" w:hAnsi="Arial" w:cs="Arial"/>
          <w:sz w:val="20"/>
          <w:szCs w:val="20"/>
          <w:lang w:eastAsia="es-AR"/>
        </w:rPr>
        <w:t>los socios</w:t>
      </w:r>
      <w:r w:rsidRPr="00385E86">
        <w:rPr>
          <w:rFonts w:ascii="Arial" w:eastAsia="Times New Roman" w:hAnsi="Arial" w:cs="Arial"/>
          <w:sz w:val="20"/>
          <w:szCs w:val="20"/>
          <w:lang w:eastAsia="es-AR"/>
        </w:rPr>
        <w:t xml:space="preserve"> </w:t>
      </w:r>
      <w:r w:rsidRPr="00385E86">
        <w:rPr>
          <w:rFonts w:ascii="Arial" w:eastAsia="Times New Roman" w:hAnsi="Arial" w:cs="Arial"/>
          <w:b/>
          <w:bCs/>
          <w:sz w:val="20"/>
          <w:szCs w:val="20"/>
          <w:lang w:eastAsia="es-AR"/>
        </w:rPr>
        <w:t>Manfred Hang Kuchen</w:t>
      </w:r>
      <w:r w:rsidRPr="00385E86">
        <w:rPr>
          <w:rFonts w:ascii="Arial" w:eastAsia="Times New Roman" w:hAnsi="Arial" w:cs="Arial"/>
          <w:sz w:val="20"/>
          <w:szCs w:val="20"/>
          <w:lang w:eastAsia="es-AR"/>
        </w:rPr>
        <w:t xml:space="preserve"> y </w:t>
      </w:r>
      <w:r w:rsidRPr="00385E86">
        <w:rPr>
          <w:rFonts w:ascii="Arial" w:eastAsia="Times New Roman" w:hAnsi="Arial" w:cs="Arial"/>
          <w:b/>
          <w:bCs/>
          <w:sz w:val="20"/>
          <w:szCs w:val="20"/>
          <w:lang w:eastAsia="es-AR"/>
        </w:rPr>
        <w:t>Sebasti</w:t>
      </w:r>
      <w:r w:rsidR="00385E86">
        <w:rPr>
          <w:rFonts w:ascii="Arial" w:eastAsia="Times New Roman" w:hAnsi="Arial" w:cs="Arial"/>
          <w:b/>
          <w:bCs/>
          <w:sz w:val="20"/>
          <w:szCs w:val="20"/>
          <w:lang w:eastAsia="es-AR"/>
        </w:rPr>
        <w:t>á</w:t>
      </w:r>
      <w:r w:rsidRPr="00385E86">
        <w:rPr>
          <w:rFonts w:ascii="Arial" w:eastAsia="Times New Roman" w:hAnsi="Arial" w:cs="Arial"/>
          <w:b/>
          <w:bCs/>
          <w:sz w:val="20"/>
          <w:szCs w:val="20"/>
          <w:lang w:eastAsia="es-AR"/>
        </w:rPr>
        <w:t>n Rodríguez Morales</w:t>
      </w:r>
      <w:r w:rsidRPr="00385E86">
        <w:rPr>
          <w:rFonts w:ascii="Arial" w:eastAsia="Times New Roman" w:hAnsi="Arial" w:cs="Arial"/>
          <w:sz w:val="20"/>
          <w:szCs w:val="20"/>
          <w:lang w:eastAsia="es-AR"/>
        </w:rPr>
        <w:t xml:space="preserve">, junto con </w:t>
      </w:r>
      <w:r w:rsidRPr="00385E86">
        <w:rPr>
          <w:rFonts w:ascii="Arial" w:eastAsia="Times New Roman" w:hAnsi="Arial" w:cs="Arial"/>
          <w:sz w:val="20"/>
          <w:szCs w:val="20"/>
          <w:lang w:eastAsia="es-AR"/>
        </w:rPr>
        <w:t xml:space="preserve">el asociado </w:t>
      </w:r>
      <w:r w:rsidRPr="00385E86">
        <w:rPr>
          <w:rFonts w:ascii="Arial" w:eastAsia="Times New Roman" w:hAnsi="Arial" w:cs="Arial"/>
          <w:b/>
          <w:bCs/>
          <w:sz w:val="20"/>
          <w:szCs w:val="20"/>
          <w:lang w:eastAsia="es-AR"/>
        </w:rPr>
        <w:t>Bautista Quiñoa</w:t>
      </w:r>
      <w:r w:rsidRPr="00385E86">
        <w:rPr>
          <w:rFonts w:ascii="Arial" w:eastAsia="Times New Roman" w:hAnsi="Arial" w:cs="Arial"/>
          <w:sz w:val="20"/>
          <w:szCs w:val="20"/>
          <w:lang w:eastAsia="es-AR"/>
        </w:rPr>
        <w:t>.</w:t>
      </w:r>
    </w:p>
    <w:p w14:paraId="0840DA4A" w14:textId="77777777" w:rsidR="009F60F1" w:rsidRPr="00385E86" w:rsidRDefault="009F60F1" w:rsidP="00385E86">
      <w:pPr>
        <w:shd w:val="clear" w:color="auto" w:fill="FFFFFF"/>
        <w:spacing w:after="150" w:line="240" w:lineRule="auto"/>
        <w:jc w:val="both"/>
        <w:rPr>
          <w:rFonts w:ascii="Arial" w:eastAsia="Times New Roman" w:hAnsi="Arial" w:cs="Arial"/>
          <w:sz w:val="20"/>
          <w:szCs w:val="20"/>
          <w:lang w:eastAsia="es-AR"/>
        </w:rPr>
      </w:pPr>
    </w:p>
    <w:p w14:paraId="3B02F311" w14:textId="77777777" w:rsidR="009F60F1" w:rsidRPr="00385E86" w:rsidRDefault="009F60F1" w:rsidP="00385E86">
      <w:pPr>
        <w:pStyle w:val="Prrafodelista"/>
        <w:numPr>
          <w:ilvl w:val="0"/>
          <w:numId w:val="2"/>
        </w:numPr>
        <w:shd w:val="clear" w:color="auto" w:fill="FFFFFF"/>
        <w:spacing w:after="150" w:line="240" w:lineRule="auto"/>
        <w:jc w:val="both"/>
        <w:rPr>
          <w:rFonts w:ascii="Arial" w:eastAsia="Times New Roman" w:hAnsi="Arial" w:cs="Arial"/>
          <w:b/>
          <w:bCs/>
          <w:sz w:val="20"/>
          <w:szCs w:val="20"/>
          <w:lang w:eastAsia="es-AR"/>
        </w:rPr>
      </w:pPr>
      <w:proofErr w:type="spellStart"/>
      <w:r w:rsidRPr="00385E86">
        <w:rPr>
          <w:rFonts w:ascii="Arial" w:eastAsia="Times New Roman" w:hAnsi="Arial" w:cs="Arial"/>
          <w:b/>
          <w:bCs/>
          <w:sz w:val="20"/>
          <w:szCs w:val="20"/>
          <w:lang w:eastAsia="es-AR"/>
        </w:rPr>
        <w:t>Transaction</w:t>
      </w:r>
      <w:proofErr w:type="spellEnd"/>
      <w:r w:rsidRPr="00385E86">
        <w:rPr>
          <w:rFonts w:ascii="Arial" w:eastAsia="Times New Roman" w:hAnsi="Arial" w:cs="Arial"/>
          <w:b/>
          <w:bCs/>
          <w:sz w:val="20"/>
          <w:szCs w:val="20"/>
          <w:lang w:eastAsia="es-AR"/>
        </w:rPr>
        <w:t xml:space="preserve"> (Esto iría en vertical)</w:t>
      </w:r>
    </w:p>
    <w:p w14:paraId="10F753D4" w14:textId="62F797EE" w:rsidR="009F60F1" w:rsidRPr="00385E86" w:rsidRDefault="009F60F1" w:rsidP="00385E86">
      <w:pPr>
        <w:jc w:val="both"/>
        <w:rPr>
          <w:rFonts w:ascii="Arial" w:hAnsi="Arial" w:cs="Arial"/>
          <w:b/>
          <w:bCs/>
          <w:sz w:val="20"/>
          <w:szCs w:val="20"/>
          <w:u w:val="single"/>
          <w:lang w:val="en-US"/>
        </w:rPr>
      </w:pPr>
      <w:r w:rsidRPr="00385E86">
        <w:rPr>
          <w:rFonts w:ascii="Arial" w:eastAsia="Times New Roman" w:hAnsi="Arial" w:cs="Arial"/>
          <w:b/>
          <w:bCs/>
          <w:sz w:val="20"/>
          <w:szCs w:val="20"/>
          <w:u w:val="single"/>
          <w:lang w:val="en-US" w:eastAsia="es-AR"/>
        </w:rPr>
        <w:t xml:space="preserve">Hang Kuchen, Sporleder &amp; Rodriguez Morales Abogados </w:t>
      </w:r>
      <w:r w:rsidRPr="00385E86">
        <w:rPr>
          <w:rFonts w:ascii="Arial" w:eastAsia="Times New Roman" w:hAnsi="Arial" w:cs="Arial"/>
          <w:b/>
          <w:bCs/>
          <w:sz w:val="20"/>
          <w:szCs w:val="20"/>
          <w:u w:val="single"/>
          <w:lang w:val="en-US" w:eastAsia="es-AR"/>
        </w:rPr>
        <w:t>advise</w:t>
      </w:r>
      <w:r w:rsidRPr="00385E86">
        <w:rPr>
          <w:rFonts w:ascii="Arial" w:eastAsia="Times New Roman" w:hAnsi="Arial" w:cs="Arial"/>
          <w:b/>
          <w:bCs/>
          <w:sz w:val="20"/>
          <w:szCs w:val="20"/>
          <w:u w:val="single"/>
          <w:lang w:val="en-US" w:eastAsia="es-AR"/>
        </w:rPr>
        <w:t xml:space="preserve"> HIDRACO </w:t>
      </w:r>
      <w:r w:rsidRPr="00385E86">
        <w:rPr>
          <w:rFonts w:ascii="Arial" w:eastAsia="Times New Roman" w:hAnsi="Arial" w:cs="Arial"/>
          <w:b/>
          <w:bCs/>
          <w:sz w:val="20"/>
          <w:szCs w:val="20"/>
          <w:u w:val="single"/>
          <w:lang w:val="en-US" w:eastAsia="es-AR"/>
        </w:rPr>
        <w:t>in its claims before the</w:t>
      </w:r>
      <w:r w:rsidRPr="00385E86">
        <w:rPr>
          <w:rFonts w:ascii="Arial" w:eastAsia="Times New Roman" w:hAnsi="Arial" w:cs="Arial"/>
          <w:b/>
          <w:bCs/>
          <w:sz w:val="20"/>
          <w:szCs w:val="20"/>
          <w:u w:val="single"/>
          <w:lang w:val="en-US" w:eastAsia="es-AR"/>
        </w:rPr>
        <w:t xml:space="preserve"> </w:t>
      </w:r>
      <w:proofErr w:type="spellStart"/>
      <w:r w:rsidRPr="00385E86">
        <w:rPr>
          <w:rFonts w:ascii="Arial" w:eastAsia="Times New Roman" w:hAnsi="Arial" w:cs="Arial"/>
          <w:b/>
          <w:bCs/>
          <w:sz w:val="20"/>
          <w:szCs w:val="20"/>
          <w:u w:val="single"/>
          <w:lang w:val="en-US" w:eastAsia="es-AR"/>
        </w:rPr>
        <w:t>Dirección</w:t>
      </w:r>
      <w:proofErr w:type="spellEnd"/>
      <w:r w:rsidRPr="00385E86">
        <w:rPr>
          <w:rFonts w:ascii="Arial" w:eastAsia="Times New Roman" w:hAnsi="Arial" w:cs="Arial"/>
          <w:b/>
          <w:bCs/>
          <w:sz w:val="20"/>
          <w:szCs w:val="20"/>
          <w:u w:val="single"/>
          <w:lang w:val="en-US" w:eastAsia="es-AR"/>
        </w:rPr>
        <w:t xml:space="preserve"> de </w:t>
      </w:r>
      <w:proofErr w:type="spellStart"/>
      <w:r w:rsidRPr="00385E86">
        <w:rPr>
          <w:rFonts w:ascii="Arial" w:eastAsia="Times New Roman" w:hAnsi="Arial" w:cs="Arial"/>
          <w:b/>
          <w:bCs/>
          <w:sz w:val="20"/>
          <w:szCs w:val="20"/>
          <w:u w:val="single"/>
          <w:lang w:val="en-US" w:eastAsia="es-AR"/>
        </w:rPr>
        <w:t>Vialidad</w:t>
      </w:r>
      <w:proofErr w:type="spellEnd"/>
      <w:r w:rsidRPr="00385E86">
        <w:rPr>
          <w:rFonts w:ascii="Arial" w:eastAsia="Times New Roman" w:hAnsi="Arial" w:cs="Arial"/>
          <w:b/>
          <w:bCs/>
          <w:sz w:val="20"/>
          <w:szCs w:val="20"/>
          <w:u w:val="single"/>
          <w:lang w:val="en-US" w:eastAsia="es-AR"/>
        </w:rPr>
        <w:t xml:space="preserve"> Nacional (DNV)</w:t>
      </w:r>
    </w:p>
    <w:p w14:paraId="7B33B720" w14:textId="094679DC" w:rsidR="009F60F1" w:rsidRPr="00385E86" w:rsidRDefault="00385E86" w:rsidP="00385E86">
      <w:pPr>
        <w:shd w:val="clear" w:color="auto" w:fill="FFFFFF"/>
        <w:spacing w:after="150" w:line="240" w:lineRule="auto"/>
        <w:jc w:val="both"/>
        <w:rPr>
          <w:rFonts w:ascii="Arial" w:eastAsia="Times New Roman" w:hAnsi="Arial" w:cs="Arial"/>
          <w:sz w:val="20"/>
          <w:szCs w:val="20"/>
          <w:lang w:val="en-US" w:eastAsia="es-AR"/>
        </w:rPr>
      </w:pPr>
      <w:r w:rsidRPr="00385E86">
        <w:rPr>
          <w:rFonts w:ascii="Arial" w:eastAsia="Times New Roman" w:hAnsi="Arial" w:cs="Arial"/>
          <w:sz w:val="20"/>
          <w:szCs w:val="20"/>
          <w:lang w:val="en-US" w:eastAsia="es-AR"/>
        </w:rPr>
        <w:t>Last October,</w:t>
      </w:r>
      <w:r>
        <w:rPr>
          <w:rFonts w:ascii="Arial" w:eastAsia="Times New Roman" w:hAnsi="Arial" w:cs="Arial"/>
          <w:b/>
          <w:bCs/>
          <w:sz w:val="20"/>
          <w:szCs w:val="20"/>
          <w:lang w:val="en-US" w:eastAsia="es-AR"/>
        </w:rPr>
        <w:t xml:space="preserve"> </w:t>
      </w:r>
      <w:r w:rsidR="009F60F1" w:rsidRPr="00385E86">
        <w:rPr>
          <w:rFonts w:ascii="Arial" w:eastAsia="Times New Roman" w:hAnsi="Arial" w:cs="Arial"/>
          <w:b/>
          <w:bCs/>
          <w:sz w:val="20"/>
          <w:szCs w:val="20"/>
          <w:lang w:val="en-US" w:eastAsia="es-AR"/>
        </w:rPr>
        <w:t>Hang Kuchen, Sporleder &amp; Rodriguez Morales Abogados</w:t>
      </w:r>
      <w:r w:rsidR="009F60F1" w:rsidRPr="00DD145D">
        <w:rPr>
          <w:rFonts w:ascii="Arial" w:eastAsia="Times New Roman" w:hAnsi="Arial" w:cs="Arial"/>
          <w:sz w:val="20"/>
          <w:szCs w:val="20"/>
          <w:lang w:val="en-US" w:eastAsia="es-AR"/>
        </w:rPr>
        <w:t>, a</w:t>
      </w:r>
      <w:r w:rsidR="009F60F1" w:rsidRPr="00385E86">
        <w:rPr>
          <w:rFonts w:ascii="Arial" w:eastAsia="Times New Roman" w:hAnsi="Arial" w:cs="Arial"/>
          <w:sz w:val="20"/>
          <w:szCs w:val="20"/>
          <w:lang w:val="en-US" w:eastAsia="es-AR"/>
        </w:rPr>
        <w:t xml:space="preserve">dvised </w:t>
      </w:r>
      <w:proofErr w:type="spellStart"/>
      <w:r w:rsidR="009F60F1" w:rsidRPr="00385E86">
        <w:rPr>
          <w:rFonts w:ascii="Arial" w:eastAsia="Times New Roman" w:hAnsi="Arial" w:cs="Arial"/>
          <w:b/>
          <w:bCs/>
          <w:sz w:val="20"/>
          <w:szCs w:val="20"/>
          <w:lang w:val="en-US" w:eastAsia="es-AR"/>
        </w:rPr>
        <w:t>Hidraco</w:t>
      </w:r>
      <w:proofErr w:type="spellEnd"/>
      <w:r w:rsidR="009F60F1" w:rsidRPr="00385E86">
        <w:rPr>
          <w:rFonts w:ascii="Arial" w:eastAsia="Times New Roman" w:hAnsi="Arial" w:cs="Arial"/>
          <w:b/>
          <w:bCs/>
          <w:sz w:val="20"/>
          <w:szCs w:val="20"/>
          <w:lang w:val="en-US" w:eastAsia="es-AR"/>
        </w:rPr>
        <w:t xml:space="preserve"> S.A.</w:t>
      </w:r>
      <w:r w:rsidR="009F60F1" w:rsidRPr="00385E86">
        <w:rPr>
          <w:rFonts w:ascii="Arial" w:eastAsia="Times New Roman" w:hAnsi="Arial" w:cs="Arial"/>
          <w:sz w:val="20"/>
          <w:szCs w:val="20"/>
          <w:lang w:val="en-US" w:eastAsia="es-AR"/>
        </w:rPr>
        <w:t xml:space="preserve"> in its administrative claims before the </w:t>
      </w:r>
      <w:proofErr w:type="spellStart"/>
      <w:r w:rsidR="009F60F1" w:rsidRPr="00385E86">
        <w:rPr>
          <w:rFonts w:ascii="Arial" w:eastAsia="Times New Roman" w:hAnsi="Arial" w:cs="Arial"/>
          <w:b/>
          <w:bCs/>
          <w:sz w:val="20"/>
          <w:szCs w:val="20"/>
          <w:lang w:val="en-US" w:eastAsia="es-AR"/>
        </w:rPr>
        <w:t>Dirección</w:t>
      </w:r>
      <w:proofErr w:type="spellEnd"/>
      <w:r w:rsidR="009F60F1" w:rsidRPr="00385E86">
        <w:rPr>
          <w:rFonts w:ascii="Arial" w:eastAsia="Times New Roman" w:hAnsi="Arial" w:cs="Arial"/>
          <w:b/>
          <w:bCs/>
          <w:sz w:val="20"/>
          <w:szCs w:val="20"/>
          <w:lang w:val="en-US" w:eastAsia="es-AR"/>
        </w:rPr>
        <w:t xml:space="preserve"> de </w:t>
      </w:r>
      <w:proofErr w:type="spellStart"/>
      <w:r w:rsidR="009F60F1" w:rsidRPr="00385E86">
        <w:rPr>
          <w:rFonts w:ascii="Arial" w:eastAsia="Times New Roman" w:hAnsi="Arial" w:cs="Arial"/>
          <w:b/>
          <w:bCs/>
          <w:sz w:val="20"/>
          <w:szCs w:val="20"/>
          <w:lang w:val="en-US" w:eastAsia="es-AR"/>
        </w:rPr>
        <w:t>Vialidad</w:t>
      </w:r>
      <w:proofErr w:type="spellEnd"/>
      <w:r w:rsidR="009F60F1" w:rsidRPr="00385E86">
        <w:rPr>
          <w:rFonts w:ascii="Arial" w:eastAsia="Times New Roman" w:hAnsi="Arial" w:cs="Arial"/>
          <w:b/>
          <w:bCs/>
          <w:sz w:val="20"/>
          <w:szCs w:val="20"/>
          <w:lang w:val="en-US" w:eastAsia="es-AR"/>
        </w:rPr>
        <w:t xml:space="preserve"> Nacional</w:t>
      </w:r>
      <w:r w:rsidR="009F60F1" w:rsidRPr="00385E86">
        <w:rPr>
          <w:rFonts w:ascii="Arial" w:eastAsia="Times New Roman" w:hAnsi="Arial" w:cs="Arial"/>
          <w:sz w:val="20"/>
          <w:szCs w:val="20"/>
          <w:lang w:val="en-US" w:eastAsia="es-AR"/>
        </w:rPr>
        <w:t xml:space="preserve">, regarding the public works for the recovery and maintenance of Highway N° 114, including sections of the National Highway N° 40, </w:t>
      </w:r>
      <w:r w:rsidR="00426630" w:rsidRPr="00385E86">
        <w:rPr>
          <w:rFonts w:ascii="Arial" w:eastAsia="Times New Roman" w:hAnsi="Arial" w:cs="Arial"/>
          <w:sz w:val="20"/>
          <w:szCs w:val="20"/>
          <w:lang w:val="en-US" w:eastAsia="es-AR"/>
        </w:rPr>
        <w:t>in Rio Negro province.</w:t>
      </w:r>
    </w:p>
    <w:p w14:paraId="6E4BF59E" w14:textId="60A288AF" w:rsidR="00426630" w:rsidRPr="00385E86" w:rsidRDefault="00426630" w:rsidP="00385E86">
      <w:pPr>
        <w:shd w:val="clear" w:color="auto" w:fill="FFFFFF"/>
        <w:spacing w:after="150" w:line="240" w:lineRule="auto"/>
        <w:jc w:val="both"/>
        <w:rPr>
          <w:rFonts w:ascii="Arial" w:eastAsia="Times New Roman" w:hAnsi="Arial" w:cs="Arial"/>
          <w:sz w:val="20"/>
          <w:szCs w:val="20"/>
          <w:lang w:val="en-US" w:eastAsia="es-AR"/>
        </w:rPr>
      </w:pPr>
      <w:r w:rsidRPr="00385E86">
        <w:rPr>
          <w:rFonts w:ascii="Arial" w:eastAsia="Times New Roman" w:hAnsi="Arial" w:cs="Arial"/>
          <w:sz w:val="20"/>
          <w:szCs w:val="20"/>
          <w:lang w:val="en-US" w:eastAsia="es-AR"/>
        </w:rPr>
        <w:t xml:space="preserve">HSR Abogados advised </w:t>
      </w:r>
      <w:r w:rsidRPr="00385E86">
        <w:rPr>
          <w:rFonts w:ascii="Arial" w:eastAsia="Times New Roman" w:hAnsi="Arial" w:cs="Arial"/>
          <w:sz w:val="20"/>
          <w:szCs w:val="20"/>
          <w:lang w:val="en-US" w:eastAsia="es-AR"/>
        </w:rPr>
        <w:t>HIDRACO</w:t>
      </w:r>
      <w:r w:rsidRPr="00385E86">
        <w:rPr>
          <w:rFonts w:ascii="Arial" w:eastAsia="Times New Roman" w:hAnsi="Arial" w:cs="Arial"/>
          <w:sz w:val="20"/>
          <w:szCs w:val="20"/>
          <w:lang w:val="en-US" w:eastAsia="es-AR"/>
        </w:rPr>
        <w:t xml:space="preserve"> with a team including </w:t>
      </w:r>
      <w:r w:rsidRPr="00385E86">
        <w:rPr>
          <w:rFonts w:ascii="Arial" w:eastAsia="Times New Roman" w:hAnsi="Arial" w:cs="Arial"/>
          <w:b/>
          <w:bCs/>
          <w:sz w:val="20"/>
          <w:szCs w:val="20"/>
          <w:lang w:val="en-US" w:eastAsia="es-AR"/>
        </w:rPr>
        <w:t>Manfred Hang Kuchen</w:t>
      </w:r>
      <w:r w:rsidRPr="00385E86">
        <w:rPr>
          <w:rFonts w:ascii="Arial" w:eastAsia="Times New Roman" w:hAnsi="Arial" w:cs="Arial"/>
          <w:sz w:val="20"/>
          <w:szCs w:val="20"/>
          <w:lang w:val="en-US" w:eastAsia="es-AR"/>
        </w:rPr>
        <w:t xml:space="preserve"> and </w:t>
      </w:r>
      <w:r w:rsidRPr="00385E86">
        <w:rPr>
          <w:rFonts w:ascii="Arial" w:eastAsia="Times New Roman" w:hAnsi="Arial" w:cs="Arial"/>
          <w:b/>
          <w:bCs/>
          <w:sz w:val="20"/>
          <w:szCs w:val="20"/>
          <w:lang w:val="en-US" w:eastAsia="es-AR"/>
        </w:rPr>
        <w:t>Sebastián Rodríguez Morales</w:t>
      </w:r>
      <w:r w:rsidRPr="00385E86">
        <w:rPr>
          <w:rFonts w:ascii="Arial" w:eastAsia="Times New Roman" w:hAnsi="Arial" w:cs="Arial"/>
          <w:sz w:val="20"/>
          <w:szCs w:val="20"/>
          <w:lang w:val="en-US" w:eastAsia="es-AR"/>
        </w:rPr>
        <w:t xml:space="preserve"> (partner</w:t>
      </w:r>
      <w:r w:rsidRPr="00385E86">
        <w:rPr>
          <w:rFonts w:ascii="Arial" w:eastAsia="Times New Roman" w:hAnsi="Arial" w:cs="Arial"/>
          <w:sz w:val="20"/>
          <w:szCs w:val="20"/>
          <w:lang w:val="en-US" w:eastAsia="es-AR"/>
        </w:rPr>
        <w:t>s</w:t>
      </w:r>
      <w:r w:rsidRPr="00385E86">
        <w:rPr>
          <w:rFonts w:ascii="Arial" w:eastAsia="Times New Roman" w:hAnsi="Arial" w:cs="Arial"/>
          <w:sz w:val="20"/>
          <w:szCs w:val="20"/>
          <w:lang w:val="en-US" w:eastAsia="es-AR"/>
        </w:rPr>
        <w:t xml:space="preserve">), and </w:t>
      </w:r>
      <w:r w:rsidRPr="00385E86">
        <w:rPr>
          <w:rFonts w:ascii="Arial" w:eastAsia="Times New Roman" w:hAnsi="Arial" w:cs="Arial"/>
          <w:b/>
          <w:bCs/>
          <w:sz w:val="20"/>
          <w:szCs w:val="20"/>
          <w:lang w:val="en-US" w:eastAsia="es-AR"/>
        </w:rPr>
        <w:t>Bautista Quiñoa</w:t>
      </w:r>
      <w:r w:rsidRPr="00385E86">
        <w:rPr>
          <w:rFonts w:ascii="Arial" w:eastAsia="Times New Roman" w:hAnsi="Arial" w:cs="Arial"/>
          <w:sz w:val="20"/>
          <w:szCs w:val="20"/>
          <w:lang w:val="en-US" w:eastAsia="es-AR"/>
        </w:rPr>
        <w:t xml:space="preserve"> (associate).</w:t>
      </w:r>
    </w:p>
    <w:p w14:paraId="566298EF" w14:textId="1F91F03A" w:rsidR="00426630" w:rsidRPr="00385E86" w:rsidRDefault="00426630" w:rsidP="00385E86">
      <w:pPr>
        <w:shd w:val="clear" w:color="auto" w:fill="FFFFFF"/>
        <w:spacing w:after="150" w:line="240" w:lineRule="auto"/>
        <w:jc w:val="both"/>
        <w:rPr>
          <w:rFonts w:ascii="Arial" w:eastAsia="Times New Roman" w:hAnsi="Arial" w:cs="Arial"/>
          <w:sz w:val="20"/>
          <w:szCs w:val="20"/>
          <w:lang w:val="en-US" w:eastAsia="es-AR"/>
        </w:rPr>
      </w:pPr>
    </w:p>
    <w:p w14:paraId="3CB9AE06" w14:textId="27E6D05E" w:rsidR="00385E86" w:rsidRPr="00385E86" w:rsidRDefault="00385E86" w:rsidP="00385E86">
      <w:pPr>
        <w:jc w:val="both"/>
        <w:rPr>
          <w:rFonts w:ascii="Arial" w:eastAsia="Times New Roman" w:hAnsi="Arial" w:cs="Arial"/>
          <w:sz w:val="20"/>
          <w:szCs w:val="20"/>
          <w:lang w:val="en-US" w:eastAsia="es-AR"/>
        </w:rPr>
      </w:pPr>
      <w:r w:rsidRPr="00385E86">
        <w:rPr>
          <w:rFonts w:ascii="Arial" w:eastAsia="Times New Roman" w:hAnsi="Arial" w:cs="Arial"/>
          <w:sz w:val="20"/>
          <w:szCs w:val="20"/>
          <w:lang w:val="en-US" w:eastAsia="es-AR"/>
        </w:rPr>
        <w:br w:type="page"/>
      </w:r>
    </w:p>
    <w:p w14:paraId="5BE36540" w14:textId="3D19D0CB" w:rsidR="00385E86" w:rsidRPr="00385E86" w:rsidRDefault="00385E86" w:rsidP="00385E86">
      <w:pPr>
        <w:pStyle w:val="Prrafodelista"/>
        <w:numPr>
          <w:ilvl w:val="0"/>
          <w:numId w:val="2"/>
        </w:numPr>
        <w:jc w:val="both"/>
        <w:rPr>
          <w:rFonts w:ascii="Arial" w:hAnsi="Arial" w:cs="Arial"/>
          <w:b/>
          <w:bCs/>
          <w:sz w:val="20"/>
          <w:szCs w:val="20"/>
        </w:rPr>
      </w:pPr>
      <w:proofErr w:type="spellStart"/>
      <w:r w:rsidRPr="00385E86">
        <w:rPr>
          <w:rFonts w:ascii="Arial" w:hAnsi="Arial" w:cs="Arial"/>
          <w:b/>
          <w:bCs/>
          <w:sz w:val="20"/>
          <w:szCs w:val="20"/>
        </w:rPr>
        <w:lastRenderedPageBreak/>
        <w:t>Opinion</w:t>
      </w:r>
      <w:proofErr w:type="spellEnd"/>
      <w:r w:rsidRPr="00385E86">
        <w:rPr>
          <w:rFonts w:ascii="Arial" w:hAnsi="Arial" w:cs="Arial"/>
          <w:b/>
          <w:bCs/>
          <w:sz w:val="20"/>
          <w:szCs w:val="20"/>
        </w:rPr>
        <w:t xml:space="preserve"> (esto iría en vertical)</w:t>
      </w:r>
    </w:p>
    <w:p w14:paraId="3DB02636" w14:textId="7AEBDF46" w:rsidR="00385E86" w:rsidRPr="00385E86" w:rsidRDefault="00385E86" w:rsidP="00385E86">
      <w:pPr>
        <w:jc w:val="both"/>
        <w:rPr>
          <w:rFonts w:ascii="Arial" w:hAnsi="Arial" w:cs="Arial"/>
          <w:sz w:val="20"/>
          <w:szCs w:val="20"/>
        </w:rPr>
      </w:pPr>
      <w:r w:rsidRPr="00385E86">
        <w:rPr>
          <w:rFonts w:ascii="Arial" w:hAnsi="Arial" w:cs="Arial"/>
          <w:b/>
          <w:bCs/>
          <w:sz w:val="20"/>
          <w:szCs w:val="20"/>
          <w:u w:val="single"/>
        </w:rPr>
        <w:t>Argentina avanza en la regulación del juego online</w:t>
      </w:r>
    </w:p>
    <w:p w14:paraId="5D8F5528" w14:textId="74022AFF" w:rsidR="00385E86" w:rsidRPr="00385E86" w:rsidRDefault="00385E86" w:rsidP="00385E86">
      <w:pPr>
        <w:shd w:val="clear" w:color="auto" w:fill="FFFFFF"/>
        <w:spacing w:after="150" w:line="240" w:lineRule="auto"/>
        <w:jc w:val="both"/>
        <w:rPr>
          <w:rFonts w:ascii="Arial" w:hAnsi="Arial" w:cs="Arial"/>
          <w:sz w:val="20"/>
          <w:szCs w:val="20"/>
          <w:shd w:val="clear" w:color="auto" w:fill="FFFFFF"/>
        </w:rPr>
      </w:pPr>
      <w:r w:rsidRPr="00385E86">
        <w:rPr>
          <w:rFonts w:ascii="Arial" w:hAnsi="Arial" w:cs="Arial"/>
          <w:sz w:val="20"/>
          <w:szCs w:val="20"/>
          <w:shd w:val="clear" w:color="auto" w:fill="FFFFFF"/>
        </w:rPr>
        <w:t>Compartimos un artículo publicado por nuestro socio</w:t>
      </w:r>
      <w:r w:rsidRPr="00385E86">
        <w:rPr>
          <w:rFonts w:ascii="Arial" w:hAnsi="Arial" w:cs="Arial"/>
          <w:sz w:val="20"/>
          <w:szCs w:val="20"/>
          <w:shd w:val="clear" w:color="auto" w:fill="FFFFFF"/>
        </w:rPr>
        <w:t xml:space="preserve"> </w:t>
      </w:r>
      <w:r w:rsidRPr="00385E86">
        <w:rPr>
          <w:rFonts w:ascii="Arial" w:hAnsi="Arial" w:cs="Arial"/>
          <w:b/>
          <w:bCs/>
          <w:sz w:val="20"/>
          <w:szCs w:val="20"/>
          <w:shd w:val="clear" w:color="auto" w:fill="FFFFFF"/>
        </w:rPr>
        <w:t>Sebastián Rodríguez Morales</w:t>
      </w:r>
      <w:r w:rsidRPr="00385E86">
        <w:rPr>
          <w:rFonts w:ascii="Arial" w:hAnsi="Arial" w:cs="Arial"/>
          <w:sz w:val="20"/>
          <w:szCs w:val="20"/>
          <w:shd w:val="clear" w:color="auto" w:fill="FFFFFF"/>
        </w:rPr>
        <w:t xml:space="preserve"> en </w:t>
      </w:r>
      <w:r w:rsidRPr="00385E86">
        <w:rPr>
          <w:rFonts w:ascii="Arial" w:hAnsi="Arial" w:cs="Arial"/>
          <w:b/>
          <w:bCs/>
          <w:sz w:val="20"/>
          <w:szCs w:val="20"/>
          <w:shd w:val="clear" w:color="auto" w:fill="FFFFFF"/>
        </w:rPr>
        <w:t>Abogados.com.ar</w:t>
      </w:r>
      <w:r w:rsidRPr="00385E86">
        <w:rPr>
          <w:rFonts w:ascii="Arial" w:hAnsi="Arial" w:cs="Arial"/>
          <w:sz w:val="20"/>
          <w:szCs w:val="20"/>
          <w:shd w:val="clear" w:color="auto" w:fill="FFFFFF"/>
        </w:rPr>
        <w:t xml:space="preserve"> sobre la regulación del juego online en la República Argentina.</w:t>
      </w:r>
    </w:p>
    <w:p w14:paraId="12386510" w14:textId="5F16D29F" w:rsidR="00385E86" w:rsidRPr="00385E86" w:rsidRDefault="00385E86" w:rsidP="00385E86">
      <w:pPr>
        <w:shd w:val="clear" w:color="auto" w:fill="FFFFFF"/>
        <w:spacing w:after="150" w:line="240" w:lineRule="auto"/>
        <w:jc w:val="both"/>
        <w:rPr>
          <w:rFonts w:ascii="Arial" w:hAnsi="Arial" w:cs="Arial"/>
          <w:sz w:val="20"/>
          <w:szCs w:val="20"/>
          <w:shd w:val="clear" w:color="auto" w:fill="FFFFFF"/>
        </w:rPr>
      </w:pPr>
      <w:r w:rsidRPr="00385E86">
        <w:rPr>
          <w:rFonts w:ascii="Arial" w:hAnsi="Arial" w:cs="Arial"/>
          <w:sz w:val="20"/>
          <w:szCs w:val="20"/>
          <w:shd w:val="clear" w:color="auto" w:fill="FFFFFF"/>
        </w:rPr>
        <w:t xml:space="preserve">Haz </w:t>
      </w:r>
      <w:proofErr w:type="spellStart"/>
      <w:r w:rsidRPr="00385E86">
        <w:rPr>
          <w:rFonts w:ascii="Arial" w:hAnsi="Arial" w:cs="Arial"/>
          <w:sz w:val="20"/>
          <w:szCs w:val="20"/>
          <w:shd w:val="clear" w:color="auto" w:fill="FFFFFF"/>
        </w:rPr>
        <w:t>click</w:t>
      </w:r>
      <w:proofErr w:type="spellEnd"/>
      <w:r w:rsidRPr="00385E86">
        <w:rPr>
          <w:rFonts w:ascii="Arial" w:hAnsi="Arial" w:cs="Arial"/>
          <w:sz w:val="20"/>
          <w:szCs w:val="20"/>
          <w:shd w:val="clear" w:color="auto" w:fill="FFFFFF"/>
        </w:rPr>
        <w:t xml:space="preserve"> a continuación para acceder al artículo completo: </w:t>
      </w:r>
      <w:hyperlink r:id="rId5" w:history="1">
        <w:r w:rsidRPr="00385E86">
          <w:rPr>
            <w:rStyle w:val="Hipervnculo"/>
            <w:rFonts w:ascii="Arial" w:hAnsi="Arial" w:cs="Arial"/>
            <w:color w:val="auto"/>
            <w:sz w:val="20"/>
            <w:szCs w:val="20"/>
            <w:shd w:val="clear" w:color="auto" w:fill="FFFFFF"/>
          </w:rPr>
          <w:t>www.</w:t>
        </w:r>
        <w:r w:rsidRPr="00385E86">
          <w:rPr>
            <w:rStyle w:val="Hipervnculo"/>
            <w:rFonts w:ascii="Arial" w:hAnsi="Arial" w:cs="Arial"/>
            <w:color w:val="auto"/>
            <w:sz w:val="20"/>
            <w:szCs w:val="20"/>
            <w:shd w:val="clear" w:color="auto" w:fill="FFFFFF"/>
          </w:rPr>
          <w:t>abogados.com.ar/argentina-avanza-en-la-regulacion-del-juego-online/29207</w:t>
        </w:r>
      </w:hyperlink>
    </w:p>
    <w:p w14:paraId="099B08B1" w14:textId="1BA91A23" w:rsidR="00385E86" w:rsidRPr="00385E86" w:rsidRDefault="00385E86" w:rsidP="00385E86">
      <w:pPr>
        <w:shd w:val="clear" w:color="auto" w:fill="FFFFFF"/>
        <w:spacing w:after="150" w:line="240" w:lineRule="auto"/>
        <w:jc w:val="both"/>
        <w:rPr>
          <w:rFonts w:ascii="Arial" w:hAnsi="Arial" w:cs="Arial"/>
          <w:sz w:val="20"/>
          <w:szCs w:val="20"/>
          <w:shd w:val="clear" w:color="auto" w:fill="FFFFFF"/>
        </w:rPr>
      </w:pPr>
    </w:p>
    <w:p w14:paraId="11FACC47" w14:textId="77777777" w:rsidR="00385E86" w:rsidRPr="00385E86" w:rsidRDefault="00385E86" w:rsidP="00385E86">
      <w:pPr>
        <w:pStyle w:val="Prrafodelista"/>
        <w:numPr>
          <w:ilvl w:val="0"/>
          <w:numId w:val="6"/>
        </w:numPr>
        <w:jc w:val="both"/>
        <w:rPr>
          <w:rFonts w:ascii="Arial" w:hAnsi="Arial" w:cs="Arial"/>
          <w:b/>
          <w:bCs/>
          <w:sz w:val="20"/>
          <w:szCs w:val="20"/>
        </w:rPr>
      </w:pPr>
      <w:proofErr w:type="spellStart"/>
      <w:r w:rsidRPr="00385E86">
        <w:rPr>
          <w:rFonts w:ascii="Arial" w:hAnsi="Arial" w:cs="Arial"/>
          <w:b/>
          <w:bCs/>
          <w:sz w:val="20"/>
          <w:szCs w:val="20"/>
        </w:rPr>
        <w:t>Opinion</w:t>
      </w:r>
      <w:proofErr w:type="spellEnd"/>
      <w:r w:rsidRPr="00385E86">
        <w:rPr>
          <w:rFonts w:ascii="Arial" w:hAnsi="Arial" w:cs="Arial"/>
          <w:b/>
          <w:bCs/>
          <w:sz w:val="20"/>
          <w:szCs w:val="20"/>
        </w:rPr>
        <w:t xml:space="preserve"> (esto iría en vertical)</w:t>
      </w:r>
    </w:p>
    <w:p w14:paraId="5D7B67CE" w14:textId="12160049" w:rsidR="00385E86" w:rsidRPr="00385E86" w:rsidRDefault="00385E86" w:rsidP="00385E86">
      <w:pPr>
        <w:jc w:val="both"/>
        <w:rPr>
          <w:rFonts w:ascii="Arial" w:hAnsi="Arial" w:cs="Arial"/>
          <w:sz w:val="20"/>
          <w:szCs w:val="20"/>
          <w:lang w:val="en-US"/>
        </w:rPr>
      </w:pPr>
      <w:r w:rsidRPr="00385E86">
        <w:rPr>
          <w:rFonts w:ascii="Arial" w:hAnsi="Arial" w:cs="Arial"/>
          <w:b/>
          <w:bCs/>
          <w:sz w:val="20"/>
          <w:szCs w:val="20"/>
          <w:u w:val="single"/>
          <w:lang w:val="en-US"/>
        </w:rPr>
        <w:t xml:space="preserve">Argentina </w:t>
      </w:r>
      <w:r w:rsidRPr="00385E86">
        <w:rPr>
          <w:rFonts w:ascii="Arial" w:hAnsi="Arial" w:cs="Arial"/>
          <w:b/>
          <w:bCs/>
          <w:sz w:val="20"/>
          <w:szCs w:val="20"/>
          <w:u w:val="single"/>
          <w:lang w:val="en-US"/>
        </w:rPr>
        <w:t>advances in the regulation of online gambling</w:t>
      </w:r>
    </w:p>
    <w:p w14:paraId="624A2386" w14:textId="058CA03C" w:rsidR="00385E86" w:rsidRPr="00385E86" w:rsidRDefault="00385E86" w:rsidP="00385E86">
      <w:pPr>
        <w:shd w:val="clear" w:color="auto" w:fill="FFFFFF"/>
        <w:spacing w:after="150" w:line="240" w:lineRule="auto"/>
        <w:jc w:val="both"/>
        <w:rPr>
          <w:rFonts w:ascii="Arial" w:hAnsi="Arial" w:cs="Arial"/>
          <w:sz w:val="20"/>
          <w:szCs w:val="20"/>
          <w:shd w:val="clear" w:color="auto" w:fill="FFFFFF"/>
          <w:lang w:val="en-US"/>
        </w:rPr>
      </w:pPr>
      <w:r w:rsidRPr="00385E86">
        <w:rPr>
          <w:rFonts w:ascii="Arial" w:hAnsi="Arial" w:cs="Arial"/>
          <w:sz w:val="20"/>
          <w:szCs w:val="20"/>
          <w:shd w:val="clear" w:color="auto" w:fill="FFFFFF"/>
          <w:lang w:val="en-US"/>
        </w:rPr>
        <w:t xml:space="preserve">We share an article published by our partner </w:t>
      </w:r>
      <w:r w:rsidRPr="00385E86">
        <w:rPr>
          <w:rFonts w:ascii="Arial" w:hAnsi="Arial" w:cs="Arial"/>
          <w:b/>
          <w:bCs/>
          <w:sz w:val="20"/>
          <w:szCs w:val="20"/>
          <w:shd w:val="clear" w:color="auto" w:fill="FFFFFF"/>
          <w:lang w:val="en-US"/>
        </w:rPr>
        <w:t>Sebastián Rodríguez Morales</w:t>
      </w:r>
      <w:r w:rsidRPr="00385E86">
        <w:rPr>
          <w:rFonts w:ascii="Arial" w:hAnsi="Arial" w:cs="Arial"/>
          <w:sz w:val="20"/>
          <w:szCs w:val="20"/>
          <w:shd w:val="clear" w:color="auto" w:fill="FFFFFF"/>
          <w:lang w:val="en-US"/>
        </w:rPr>
        <w:t xml:space="preserve"> in </w:t>
      </w:r>
      <w:r w:rsidRPr="00385E86">
        <w:rPr>
          <w:rFonts w:ascii="Arial" w:hAnsi="Arial" w:cs="Arial"/>
          <w:b/>
          <w:bCs/>
          <w:sz w:val="20"/>
          <w:szCs w:val="20"/>
          <w:shd w:val="clear" w:color="auto" w:fill="FFFFFF"/>
          <w:lang w:val="en-US"/>
        </w:rPr>
        <w:t xml:space="preserve">Abogados.com.ar </w:t>
      </w:r>
      <w:r w:rsidRPr="00385E86">
        <w:rPr>
          <w:rFonts w:ascii="Arial" w:hAnsi="Arial" w:cs="Arial"/>
          <w:sz w:val="20"/>
          <w:szCs w:val="20"/>
          <w:shd w:val="clear" w:color="auto" w:fill="FFFFFF"/>
          <w:lang w:val="en-US"/>
        </w:rPr>
        <w:t>about the regulation of online gambling in Argentina.</w:t>
      </w:r>
    </w:p>
    <w:p w14:paraId="5141B5C7" w14:textId="35E3FAA1" w:rsidR="00385E86" w:rsidRPr="00385E86" w:rsidRDefault="00385E86" w:rsidP="00385E86">
      <w:pPr>
        <w:shd w:val="clear" w:color="auto" w:fill="FFFFFF"/>
        <w:spacing w:after="150" w:line="240" w:lineRule="auto"/>
        <w:jc w:val="both"/>
        <w:rPr>
          <w:rFonts w:ascii="Arial" w:hAnsi="Arial" w:cs="Arial"/>
          <w:sz w:val="20"/>
          <w:szCs w:val="20"/>
          <w:shd w:val="clear" w:color="auto" w:fill="FFFFFF"/>
          <w:lang w:val="en-US"/>
        </w:rPr>
      </w:pPr>
      <w:r w:rsidRPr="00385E86">
        <w:rPr>
          <w:rFonts w:ascii="Arial" w:hAnsi="Arial" w:cs="Arial"/>
          <w:sz w:val="20"/>
          <w:szCs w:val="20"/>
          <w:shd w:val="clear" w:color="auto" w:fill="FFFFFF"/>
          <w:lang w:val="en-US"/>
        </w:rPr>
        <w:t xml:space="preserve">Click below to access the full article: </w:t>
      </w:r>
      <w:hyperlink r:id="rId6" w:history="1">
        <w:r w:rsidRPr="00385E86">
          <w:rPr>
            <w:rStyle w:val="Hipervnculo"/>
            <w:rFonts w:ascii="Arial" w:hAnsi="Arial" w:cs="Arial"/>
            <w:color w:val="auto"/>
            <w:sz w:val="20"/>
            <w:szCs w:val="20"/>
            <w:shd w:val="clear" w:color="auto" w:fill="FFFFFF"/>
            <w:lang w:val="en-US"/>
          </w:rPr>
          <w:t>www.abogados.com.ar/argentina-avanza-en-la-regulacion-del-juego-online/29207</w:t>
        </w:r>
      </w:hyperlink>
    </w:p>
    <w:p w14:paraId="415C6E28" w14:textId="77777777" w:rsidR="00385E86" w:rsidRPr="00385E86" w:rsidRDefault="00385E86" w:rsidP="00385E86">
      <w:pPr>
        <w:shd w:val="clear" w:color="auto" w:fill="FFFFFF"/>
        <w:spacing w:after="150" w:line="240" w:lineRule="auto"/>
        <w:jc w:val="both"/>
        <w:rPr>
          <w:rFonts w:ascii="Arial" w:hAnsi="Arial" w:cs="Arial"/>
          <w:sz w:val="20"/>
          <w:szCs w:val="20"/>
          <w:shd w:val="clear" w:color="auto" w:fill="FFFFFF"/>
          <w:lang w:val="en-US"/>
        </w:rPr>
      </w:pPr>
    </w:p>
    <w:p w14:paraId="68073F60" w14:textId="77777777" w:rsidR="009F60F1" w:rsidRPr="00385E86" w:rsidRDefault="009F60F1" w:rsidP="00385E86">
      <w:pPr>
        <w:shd w:val="clear" w:color="auto" w:fill="FFFFFF"/>
        <w:spacing w:after="150" w:line="240" w:lineRule="auto"/>
        <w:jc w:val="both"/>
        <w:rPr>
          <w:rFonts w:ascii="Arial" w:eastAsia="Times New Roman" w:hAnsi="Arial" w:cs="Arial"/>
          <w:i/>
          <w:iCs/>
          <w:sz w:val="20"/>
          <w:szCs w:val="20"/>
          <w:lang w:val="en-US" w:eastAsia="es-AR"/>
        </w:rPr>
      </w:pPr>
    </w:p>
    <w:sectPr w:rsidR="009F60F1" w:rsidRPr="00385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21FD0"/>
    <w:multiLevelType w:val="hybridMultilevel"/>
    <w:tmpl w:val="849234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054100"/>
    <w:multiLevelType w:val="hybridMultilevel"/>
    <w:tmpl w:val="849234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0E62A7D"/>
    <w:multiLevelType w:val="hybridMultilevel"/>
    <w:tmpl w:val="849234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93079A"/>
    <w:multiLevelType w:val="hybridMultilevel"/>
    <w:tmpl w:val="849234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27623CE"/>
    <w:multiLevelType w:val="hybridMultilevel"/>
    <w:tmpl w:val="C4EC308E"/>
    <w:lvl w:ilvl="0" w:tplc="39562A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263A14"/>
    <w:multiLevelType w:val="hybridMultilevel"/>
    <w:tmpl w:val="8B4C77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2D"/>
    <w:rsid w:val="000F532D"/>
    <w:rsid w:val="00225A1F"/>
    <w:rsid w:val="00252CD7"/>
    <w:rsid w:val="002A4534"/>
    <w:rsid w:val="00385E86"/>
    <w:rsid w:val="00426630"/>
    <w:rsid w:val="00543D08"/>
    <w:rsid w:val="00556D34"/>
    <w:rsid w:val="009F60F1"/>
    <w:rsid w:val="00AD6308"/>
    <w:rsid w:val="00DD145D"/>
    <w:rsid w:val="00EC6CBC"/>
    <w:rsid w:val="00FB50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AB9"/>
  <w15:chartTrackingRefBased/>
  <w15:docId w15:val="{0FF84261-C32D-4419-9F3C-251AA87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D1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DD1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32D"/>
    <w:pPr>
      <w:ind w:left="720"/>
      <w:contextualSpacing/>
    </w:pPr>
  </w:style>
  <w:style w:type="character" w:customStyle="1" w:styleId="Ttulo1Car">
    <w:name w:val="Título 1 Car"/>
    <w:basedOn w:val="Fuentedeprrafopredeter"/>
    <w:link w:val="Ttulo1"/>
    <w:uiPriority w:val="9"/>
    <w:rsid w:val="00DD145D"/>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DD145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D145D"/>
    <w:rPr>
      <w:b/>
      <w:bCs/>
    </w:rPr>
  </w:style>
  <w:style w:type="character" w:customStyle="1" w:styleId="Ttulo2Car">
    <w:name w:val="Título 2 Car"/>
    <w:basedOn w:val="Fuentedeprrafopredeter"/>
    <w:link w:val="Ttulo2"/>
    <w:uiPriority w:val="9"/>
    <w:semiHidden/>
    <w:rsid w:val="00DD145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D145D"/>
    <w:rPr>
      <w:color w:val="0000FF"/>
      <w:u w:val="single"/>
    </w:rPr>
  </w:style>
  <w:style w:type="paragraph" w:styleId="HTMLconformatoprevio">
    <w:name w:val="HTML Preformatted"/>
    <w:basedOn w:val="Normal"/>
    <w:link w:val="HTMLconformatoprevioCar"/>
    <w:uiPriority w:val="99"/>
    <w:semiHidden/>
    <w:unhideWhenUsed/>
    <w:rsid w:val="0054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43D08"/>
    <w:rPr>
      <w:rFonts w:ascii="Courier New" w:eastAsia="Times New Roman" w:hAnsi="Courier New" w:cs="Courier New"/>
      <w:sz w:val="20"/>
      <w:szCs w:val="20"/>
      <w:lang w:eastAsia="es-AR"/>
    </w:rPr>
  </w:style>
  <w:style w:type="character" w:customStyle="1" w:styleId="y2iqfc">
    <w:name w:val="y2iqfc"/>
    <w:basedOn w:val="Fuentedeprrafopredeter"/>
    <w:rsid w:val="00543D08"/>
  </w:style>
  <w:style w:type="character" w:styleId="Mencinsinresolver">
    <w:name w:val="Unresolved Mention"/>
    <w:basedOn w:val="Fuentedeprrafopredeter"/>
    <w:uiPriority w:val="99"/>
    <w:semiHidden/>
    <w:unhideWhenUsed/>
    <w:rsid w:val="00385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1626">
      <w:bodyDiv w:val="1"/>
      <w:marLeft w:val="0"/>
      <w:marRight w:val="0"/>
      <w:marTop w:val="0"/>
      <w:marBottom w:val="0"/>
      <w:divBdr>
        <w:top w:val="none" w:sz="0" w:space="0" w:color="auto"/>
        <w:left w:val="none" w:sz="0" w:space="0" w:color="auto"/>
        <w:bottom w:val="none" w:sz="0" w:space="0" w:color="auto"/>
        <w:right w:val="none" w:sz="0" w:space="0" w:color="auto"/>
      </w:divBdr>
    </w:div>
    <w:div w:id="709111879">
      <w:bodyDiv w:val="1"/>
      <w:marLeft w:val="0"/>
      <w:marRight w:val="0"/>
      <w:marTop w:val="0"/>
      <w:marBottom w:val="0"/>
      <w:divBdr>
        <w:top w:val="none" w:sz="0" w:space="0" w:color="auto"/>
        <w:left w:val="none" w:sz="0" w:space="0" w:color="auto"/>
        <w:bottom w:val="none" w:sz="0" w:space="0" w:color="auto"/>
        <w:right w:val="none" w:sz="0" w:space="0" w:color="auto"/>
      </w:divBdr>
      <w:divsChild>
        <w:div w:id="1178500597">
          <w:marLeft w:val="0"/>
          <w:marRight w:val="0"/>
          <w:marTop w:val="0"/>
          <w:marBottom w:val="375"/>
          <w:divBdr>
            <w:top w:val="none" w:sz="0" w:space="0" w:color="auto"/>
            <w:left w:val="none" w:sz="0" w:space="0" w:color="auto"/>
            <w:bottom w:val="none" w:sz="0" w:space="0" w:color="auto"/>
            <w:right w:val="none" w:sz="0" w:space="0" w:color="auto"/>
          </w:divBdr>
        </w:div>
        <w:div w:id="1329212280">
          <w:marLeft w:val="0"/>
          <w:marRight w:val="0"/>
          <w:marTop w:val="0"/>
          <w:marBottom w:val="0"/>
          <w:divBdr>
            <w:top w:val="none" w:sz="0" w:space="0" w:color="auto"/>
            <w:left w:val="none" w:sz="0" w:space="0" w:color="auto"/>
            <w:bottom w:val="none" w:sz="0" w:space="0" w:color="auto"/>
            <w:right w:val="none" w:sz="0" w:space="0" w:color="auto"/>
          </w:divBdr>
        </w:div>
      </w:divsChild>
    </w:div>
    <w:div w:id="711347640">
      <w:bodyDiv w:val="1"/>
      <w:marLeft w:val="0"/>
      <w:marRight w:val="0"/>
      <w:marTop w:val="0"/>
      <w:marBottom w:val="0"/>
      <w:divBdr>
        <w:top w:val="none" w:sz="0" w:space="0" w:color="auto"/>
        <w:left w:val="none" w:sz="0" w:space="0" w:color="auto"/>
        <w:bottom w:val="none" w:sz="0" w:space="0" w:color="auto"/>
        <w:right w:val="none" w:sz="0" w:space="0" w:color="auto"/>
      </w:divBdr>
    </w:div>
    <w:div w:id="777681595">
      <w:bodyDiv w:val="1"/>
      <w:marLeft w:val="0"/>
      <w:marRight w:val="0"/>
      <w:marTop w:val="0"/>
      <w:marBottom w:val="0"/>
      <w:divBdr>
        <w:top w:val="none" w:sz="0" w:space="0" w:color="auto"/>
        <w:left w:val="none" w:sz="0" w:space="0" w:color="auto"/>
        <w:bottom w:val="none" w:sz="0" w:space="0" w:color="auto"/>
        <w:right w:val="none" w:sz="0" w:space="0" w:color="auto"/>
      </w:divBdr>
      <w:divsChild>
        <w:div w:id="1668245589">
          <w:marLeft w:val="0"/>
          <w:marRight w:val="0"/>
          <w:marTop w:val="0"/>
          <w:marBottom w:val="0"/>
          <w:divBdr>
            <w:top w:val="none" w:sz="0" w:space="0" w:color="auto"/>
            <w:left w:val="none" w:sz="0" w:space="0" w:color="auto"/>
            <w:bottom w:val="none" w:sz="0" w:space="0" w:color="auto"/>
            <w:right w:val="none" w:sz="0" w:space="0" w:color="auto"/>
          </w:divBdr>
          <w:divsChild>
            <w:div w:id="640042715">
              <w:marLeft w:val="0"/>
              <w:marRight w:val="0"/>
              <w:marTop w:val="0"/>
              <w:marBottom w:val="0"/>
              <w:divBdr>
                <w:top w:val="none" w:sz="0" w:space="0" w:color="auto"/>
                <w:left w:val="none" w:sz="0" w:space="0" w:color="auto"/>
                <w:bottom w:val="none" w:sz="0" w:space="0" w:color="auto"/>
                <w:right w:val="none" w:sz="0" w:space="0" w:color="auto"/>
              </w:divBdr>
              <w:divsChild>
                <w:div w:id="1602562856">
                  <w:marLeft w:val="0"/>
                  <w:marRight w:val="0"/>
                  <w:marTop w:val="0"/>
                  <w:marBottom w:val="0"/>
                  <w:divBdr>
                    <w:top w:val="none" w:sz="0" w:space="0" w:color="auto"/>
                    <w:left w:val="none" w:sz="0" w:space="0" w:color="auto"/>
                    <w:bottom w:val="none" w:sz="0" w:space="0" w:color="auto"/>
                    <w:right w:val="none" w:sz="0" w:space="0" w:color="auto"/>
                  </w:divBdr>
                  <w:divsChild>
                    <w:div w:id="1656489486">
                      <w:marLeft w:val="0"/>
                      <w:marRight w:val="0"/>
                      <w:marTop w:val="0"/>
                      <w:marBottom w:val="0"/>
                      <w:divBdr>
                        <w:top w:val="none" w:sz="0" w:space="0" w:color="auto"/>
                        <w:left w:val="none" w:sz="0" w:space="0" w:color="auto"/>
                        <w:bottom w:val="none" w:sz="0" w:space="0" w:color="auto"/>
                        <w:right w:val="none" w:sz="0" w:space="0" w:color="auto"/>
                      </w:divBdr>
                      <w:divsChild>
                        <w:div w:id="939873151">
                          <w:marLeft w:val="0"/>
                          <w:marRight w:val="0"/>
                          <w:marTop w:val="0"/>
                          <w:marBottom w:val="0"/>
                          <w:divBdr>
                            <w:top w:val="none" w:sz="0" w:space="0" w:color="auto"/>
                            <w:left w:val="none" w:sz="0" w:space="0" w:color="auto"/>
                            <w:bottom w:val="none" w:sz="0" w:space="0" w:color="auto"/>
                            <w:right w:val="none" w:sz="0" w:space="0" w:color="auto"/>
                          </w:divBdr>
                          <w:divsChild>
                            <w:div w:id="11609092">
                              <w:marLeft w:val="0"/>
                              <w:marRight w:val="0"/>
                              <w:marTop w:val="0"/>
                              <w:marBottom w:val="0"/>
                              <w:divBdr>
                                <w:top w:val="none" w:sz="0" w:space="0" w:color="auto"/>
                                <w:left w:val="none" w:sz="0" w:space="0" w:color="auto"/>
                                <w:bottom w:val="none" w:sz="0" w:space="0" w:color="auto"/>
                                <w:right w:val="none" w:sz="0" w:space="0" w:color="auto"/>
                              </w:divBdr>
                              <w:divsChild>
                                <w:div w:id="2020614853">
                                  <w:marLeft w:val="0"/>
                                  <w:marRight w:val="0"/>
                                  <w:marTop w:val="0"/>
                                  <w:marBottom w:val="0"/>
                                  <w:divBdr>
                                    <w:top w:val="none" w:sz="0" w:space="0" w:color="auto"/>
                                    <w:left w:val="none" w:sz="0" w:space="0" w:color="auto"/>
                                    <w:bottom w:val="none" w:sz="0" w:space="0" w:color="auto"/>
                                    <w:right w:val="none" w:sz="0" w:space="0" w:color="auto"/>
                                  </w:divBdr>
                                  <w:divsChild>
                                    <w:div w:id="1608467094">
                                      <w:marLeft w:val="0"/>
                                      <w:marRight w:val="0"/>
                                      <w:marTop w:val="0"/>
                                      <w:marBottom w:val="0"/>
                                      <w:divBdr>
                                        <w:top w:val="none" w:sz="0" w:space="0" w:color="auto"/>
                                        <w:left w:val="none" w:sz="0" w:space="0" w:color="auto"/>
                                        <w:bottom w:val="none" w:sz="0" w:space="0" w:color="auto"/>
                                        <w:right w:val="none" w:sz="0" w:space="0" w:color="auto"/>
                                      </w:divBdr>
                                    </w:div>
                                    <w:div w:id="1496526874">
                                      <w:marLeft w:val="0"/>
                                      <w:marRight w:val="0"/>
                                      <w:marTop w:val="0"/>
                                      <w:marBottom w:val="0"/>
                                      <w:divBdr>
                                        <w:top w:val="none" w:sz="0" w:space="0" w:color="auto"/>
                                        <w:left w:val="none" w:sz="0" w:space="0" w:color="auto"/>
                                        <w:bottom w:val="none" w:sz="0" w:space="0" w:color="auto"/>
                                        <w:right w:val="none" w:sz="0" w:space="0" w:color="auto"/>
                                      </w:divBdr>
                                      <w:divsChild>
                                        <w:div w:id="835724790">
                                          <w:marLeft w:val="0"/>
                                          <w:marRight w:val="165"/>
                                          <w:marTop w:val="150"/>
                                          <w:marBottom w:val="0"/>
                                          <w:divBdr>
                                            <w:top w:val="none" w:sz="0" w:space="0" w:color="auto"/>
                                            <w:left w:val="none" w:sz="0" w:space="0" w:color="auto"/>
                                            <w:bottom w:val="none" w:sz="0" w:space="0" w:color="auto"/>
                                            <w:right w:val="none" w:sz="0" w:space="0" w:color="auto"/>
                                          </w:divBdr>
                                          <w:divsChild>
                                            <w:div w:id="267391152">
                                              <w:marLeft w:val="0"/>
                                              <w:marRight w:val="0"/>
                                              <w:marTop w:val="0"/>
                                              <w:marBottom w:val="0"/>
                                              <w:divBdr>
                                                <w:top w:val="none" w:sz="0" w:space="0" w:color="auto"/>
                                                <w:left w:val="none" w:sz="0" w:space="0" w:color="auto"/>
                                                <w:bottom w:val="none" w:sz="0" w:space="0" w:color="auto"/>
                                                <w:right w:val="none" w:sz="0" w:space="0" w:color="auto"/>
                                              </w:divBdr>
                                              <w:divsChild>
                                                <w:div w:id="5306545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2525764">
      <w:bodyDiv w:val="1"/>
      <w:marLeft w:val="0"/>
      <w:marRight w:val="0"/>
      <w:marTop w:val="0"/>
      <w:marBottom w:val="0"/>
      <w:divBdr>
        <w:top w:val="none" w:sz="0" w:space="0" w:color="auto"/>
        <w:left w:val="none" w:sz="0" w:space="0" w:color="auto"/>
        <w:bottom w:val="none" w:sz="0" w:space="0" w:color="auto"/>
        <w:right w:val="none" w:sz="0" w:space="0" w:color="auto"/>
      </w:divBdr>
    </w:div>
    <w:div w:id="874468333">
      <w:bodyDiv w:val="1"/>
      <w:marLeft w:val="0"/>
      <w:marRight w:val="0"/>
      <w:marTop w:val="0"/>
      <w:marBottom w:val="0"/>
      <w:divBdr>
        <w:top w:val="none" w:sz="0" w:space="0" w:color="auto"/>
        <w:left w:val="none" w:sz="0" w:space="0" w:color="auto"/>
        <w:bottom w:val="none" w:sz="0" w:space="0" w:color="auto"/>
        <w:right w:val="none" w:sz="0" w:space="0" w:color="auto"/>
      </w:divBdr>
    </w:div>
    <w:div w:id="1319265127">
      <w:bodyDiv w:val="1"/>
      <w:marLeft w:val="0"/>
      <w:marRight w:val="0"/>
      <w:marTop w:val="0"/>
      <w:marBottom w:val="0"/>
      <w:divBdr>
        <w:top w:val="none" w:sz="0" w:space="0" w:color="auto"/>
        <w:left w:val="none" w:sz="0" w:space="0" w:color="auto"/>
        <w:bottom w:val="none" w:sz="0" w:space="0" w:color="auto"/>
        <w:right w:val="none" w:sz="0" w:space="0" w:color="auto"/>
      </w:divBdr>
    </w:div>
    <w:div w:id="2023236628">
      <w:bodyDiv w:val="1"/>
      <w:marLeft w:val="0"/>
      <w:marRight w:val="0"/>
      <w:marTop w:val="0"/>
      <w:marBottom w:val="0"/>
      <w:divBdr>
        <w:top w:val="none" w:sz="0" w:space="0" w:color="auto"/>
        <w:left w:val="none" w:sz="0" w:space="0" w:color="auto"/>
        <w:bottom w:val="none" w:sz="0" w:space="0" w:color="auto"/>
        <w:right w:val="none" w:sz="0" w:space="0" w:color="auto"/>
      </w:divBdr>
    </w:div>
    <w:div w:id="2075615555">
      <w:bodyDiv w:val="1"/>
      <w:marLeft w:val="0"/>
      <w:marRight w:val="0"/>
      <w:marTop w:val="0"/>
      <w:marBottom w:val="0"/>
      <w:divBdr>
        <w:top w:val="none" w:sz="0" w:space="0" w:color="auto"/>
        <w:left w:val="none" w:sz="0" w:space="0" w:color="auto"/>
        <w:bottom w:val="none" w:sz="0" w:space="0" w:color="auto"/>
        <w:right w:val="none" w:sz="0" w:space="0" w:color="auto"/>
      </w:divBdr>
    </w:div>
    <w:div w:id="2083289645">
      <w:bodyDiv w:val="1"/>
      <w:marLeft w:val="0"/>
      <w:marRight w:val="0"/>
      <w:marTop w:val="0"/>
      <w:marBottom w:val="0"/>
      <w:divBdr>
        <w:top w:val="none" w:sz="0" w:space="0" w:color="auto"/>
        <w:left w:val="none" w:sz="0" w:space="0" w:color="auto"/>
        <w:bottom w:val="none" w:sz="0" w:space="0" w:color="auto"/>
        <w:right w:val="none" w:sz="0" w:space="0" w:color="auto"/>
      </w:divBdr>
      <w:divsChild>
        <w:div w:id="715356011">
          <w:marLeft w:val="0"/>
          <w:marRight w:val="0"/>
          <w:marTop w:val="0"/>
          <w:marBottom w:val="0"/>
          <w:divBdr>
            <w:top w:val="none" w:sz="0" w:space="0" w:color="auto"/>
            <w:left w:val="none" w:sz="0" w:space="0" w:color="auto"/>
            <w:bottom w:val="none" w:sz="0" w:space="0" w:color="auto"/>
            <w:right w:val="none" w:sz="0" w:space="0" w:color="auto"/>
          </w:divBdr>
          <w:divsChild>
            <w:div w:id="2113014532">
              <w:marLeft w:val="0"/>
              <w:marRight w:val="0"/>
              <w:marTop w:val="0"/>
              <w:marBottom w:val="0"/>
              <w:divBdr>
                <w:top w:val="none" w:sz="0" w:space="0" w:color="auto"/>
                <w:left w:val="none" w:sz="0" w:space="0" w:color="auto"/>
                <w:bottom w:val="none" w:sz="0" w:space="0" w:color="auto"/>
                <w:right w:val="none" w:sz="0" w:space="0" w:color="auto"/>
              </w:divBdr>
              <w:divsChild>
                <w:div w:id="1487360032">
                  <w:marLeft w:val="0"/>
                  <w:marRight w:val="0"/>
                  <w:marTop w:val="0"/>
                  <w:marBottom w:val="0"/>
                  <w:divBdr>
                    <w:top w:val="none" w:sz="0" w:space="0" w:color="auto"/>
                    <w:left w:val="none" w:sz="0" w:space="0" w:color="auto"/>
                    <w:bottom w:val="none" w:sz="0" w:space="0" w:color="auto"/>
                    <w:right w:val="none" w:sz="0" w:space="0" w:color="auto"/>
                  </w:divBdr>
                  <w:divsChild>
                    <w:div w:id="1843735901">
                      <w:marLeft w:val="0"/>
                      <w:marRight w:val="0"/>
                      <w:marTop w:val="0"/>
                      <w:marBottom w:val="0"/>
                      <w:divBdr>
                        <w:top w:val="none" w:sz="0" w:space="0" w:color="auto"/>
                        <w:left w:val="none" w:sz="0" w:space="0" w:color="auto"/>
                        <w:bottom w:val="none" w:sz="0" w:space="0" w:color="auto"/>
                        <w:right w:val="none" w:sz="0" w:space="0" w:color="auto"/>
                      </w:divBdr>
                      <w:divsChild>
                        <w:div w:id="491482986">
                          <w:marLeft w:val="0"/>
                          <w:marRight w:val="0"/>
                          <w:marTop w:val="0"/>
                          <w:marBottom w:val="0"/>
                          <w:divBdr>
                            <w:top w:val="none" w:sz="0" w:space="0" w:color="auto"/>
                            <w:left w:val="none" w:sz="0" w:space="0" w:color="auto"/>
                            <w:bottom w:val="none" w:sz="0" w:space="0" w:color="auto"/>
                            <w:right w:val="none" w:sz="0" w:space="0" w:color="auto"/>
                          </w:divBdr>
                          <w:divsChild>
                            <w:div w:id="1334913094">
                              <w:marLeft w:val="0"/>
                              <w:marRight w:val="0"/>
                              <w:marTop w:val="0"/>
                              <w:marBottom w:val="0"/>
                              <w:divBdr>
                                <w:top w:val="none" w:sz="0" w:space="0" w:color="auto"/>
                                <w:left w:val="none" w:sz="0" w:space="0" w:color="auto"/>
                                <w:bottom w:val="none" w:sz="0" w:space="0" w:color="auto"/>
                                <w:right w:val="none" w:sz="0" w:space="0" w:color="auto"/>
                              </w:divBdr>
                              <w:divsChild>
                                <w:div w:id="69550477">
                                  <w:marLeft w:val="0"/>
                                  <w:marRight w:val="0"/>
                                  <w:marTop w:val="0"/>
                                  <w:marBottom w:val="0"/>
                                  <w:divBdr>
                                    <w:top w:val="none" w:sz="0" w:space="0" w:color="auto"/>
                                    <w:left w:val="none" w:sz="0" w:space="0" w:color="auto"/>
                                    <w:bottom w:val="none" w:sz="0" w:space="0" w:color="auto"/>
                                    <w:right w:val="none" w:sz="0" w:space="0" w:color="auto"/>
                                  </w:divBdr>
                                  <w:divsChild>
                                    <w:div w:id="1854176723">
                                      <w:marLeft w:val="0"/>
                                      <w:marRight w:val="0"/>
                                      <w:marTop w:val="0"/>
                                      <w:marBottom w:val="0"/>
                                      <w:divBdr>
                                        <w:top w:val="none" w:sz="0" w:space="0" w:color="auto"/>
                                        <w:left w:val="none" w:sz="0" w:space="0" w:color="auto"/>
                                        <w:bottom w:val="none" w:sz="0" w:space="0" w:color="auto"/>
                                        <w:right w:val="none" w:sz="0" w:space="0" w:color="auto"/>
                                      </w:divBdr>
                                    </w:div>
                                    <w:div w:id="654144520">
                                      <w:marLeft w:val="0"/>
                                      <w:marRight w:val="0"/>
                                      <w:marTop w:val="0"/>
                                      <w:marBottom w:val="0"/>
                                      <w:divBdr>
                                        <w:top w:val="none" w:sz="0" w:space="0" w:color="auto"/>
                                        <w:left w:val="none" w:sz="0" w:space="0" w:color="auto"/>
                                        <w:bottom w:val="none" w:sz="0" w:space="0" w:color="auto"/>
                                        <w:right w:val="none" w:sz="0" w:space="0" w:color="auto"/>
                                      </w:divBdr>
                                      <w:divsChild>
                                        <w:div w:id="991525214">
                                          <w:marLeft w:val="0"/>
                                          <w:marRight w:val="165"/>
                                          <w:marTop w:val="150"/>
                                          <w:marBottom w:val="0"/>
                                          <w:divBdr>
                                            <w:top w:val="none" w:sz="0" w:space="0" w:color="auto"/>
                                            <w:left w:val="none" w:sz="0" w:space="0" w:color="auto"/>
                                            <w:bottom w:val="none" w:sz="0" w:space="0" w:color="auto"/>
                                            <w:right w:val="none" w:sz="0" w:space="0" w:color="auto"/>
                                          </w:divBdr>
                                          <w:divsChild>
                                            <w:div w:id="1824471045">
                                              <w:marLeft w:val="0"/>
                                              <w:marRight w:val="0"/>
                                              <w:marTop w:val="0"/>
                                              <w:marBottom w:val="0"/>
                                              <w:divBdr>
                                                <w:top w:val="none" w:sz="0" w:space="0" w:color="auto"/>
                                                <w:left w:val="none" w:sz="0" w:space="0" w:color="auto"/>
                                                <w:bottom w:val="none" w:sz="0" w:space="0" w:color="auto"/>
                                                <w:right w:val="none" w:sz="0" w:space="0" w:color="auto"/>
                                              </w:divBdr>
                                              <w:divsChild>
                                                <w:div w:id="733429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gados.com.ar/argentina-avanza-en-la-regulacion-del-juego-online/29207" TargetMode="External"/><Relationship Id="rId5" Type="http://schemas.openxmlformats.org/officeDocument/2006/relationships/hyperlink" Target="http://www.abogados.com.ar/argentina-avanza-en-la-regulacion-del-juego-online/2920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Manfred Hang Kuchen</cp:lastModifiedBy>
  <cp:revision>4</cp:revision>
  <dcterms:created xsi:type="dcterms:W3CDTF">2021-10-28T19:35:00Z</dcterms:created>
  <dcterms:modified xsi:type="dcterms:W3CDTF">2021-10-28T20:13:00Z</dcterms:modified>
</cp:coreProperties>
</file>