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ato" w:cs="Lato" w:eastAsia="Lato" w:hAnsi="Lato"/>
        </w:rPr>
      </w:pPr>
      <w:bookmarkStart w:colFirst="0" w:colLast="0" w:name="_42wurqcpe8bp" w:id="0"/>
      <w:bookmarkEnd w:id="0"/>
      <w:r w:rsidDel="00000000" w:rsidR="00000000" w:rsidRPr="00000000">
        <w:rPr>
          <w:rFonts w:ascii="Lato" w:cs="Lato" w:eastAsia="Lato" w:hAnsi="Lato"/>
          <w:rtl w:val="0"/>
        </w:rPr>
        <w:t xml:space="preserve">Diferencia de permisos entre archivos y directorios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Permiso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Archivo</w:t>
            </w:r>
          </w:p>
        </w:tc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Directorio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 abrir y leer un archivo.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 listar el contenido de un directorio solo si el permiso de ejecución (x) también está activo.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 escribir en un archivo; sin embargo, este atributo no permite cambiar el nombre de los archivos o eliminarlos. La capacidad de eliminar o cambiar el nombre de los archivos está 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determinado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por los atributos del directorio.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 que los archivos dentro de un directorio sean creados, eliminados y renombrados si también se establece el atributo de ejecución.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 que un archivo sea tratado como un programa y pueda ser ejecutado.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Permite entrar al directorio.</w:t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