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 w:before="40" w:line="288" w:lineRule="auto"/>
        <w:jc w:val="center"/>
        <w:rPr>
          <w:b w:val="1"/>
          <w:bCs w:val="1"/>
          <w:sz w:val="40"/>
          <w:szCs w:val="40"/>
        </w:rPr>
      </w:pPr>
      <w:r w:rsidDel="00000000" w:rsidR="00000000" w:rsidRPr="00000000">
        <w:rPr>
          <w:b w:val="1"/>
          <w:bCs w:val="1"/>
          <w:sz w:val="40"/>
          <w:szCs w:val="40"/>
        </w:rPr>
        <w:drawing>
          <wp:inline distB="114300" distT="114300" distL="114300" distR="114300">
            <wp:extent cx="2495550" cy="1638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55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40" w:line="288" w:lineRule="auto"/>
        <w:jc w:val="center"/>
        <w:rPr>
          <w:b w:val="1"/>
          <w:bCs w:val="1"/>
          <w:sz w:val="40"/>
          <w:szCs w:val="40"/>
        </w:rPr>
      </w:pPr>
      <w:r w:rsidDel="00000000" w:rsidR="00000000" w:rsidRPr="00000000">
        <w:rPr>
          <w:b w:val="1"/>
          <w:bCs w:val="1"/>
          <w:sz w:val="40"/>
          <w:szCs w:val="40"/>
          <w:rtl w:val="0"/>
        </w:rPr>
        <w:t xml:space="preserve">Tecnologías Aplicadas a Soluciones de Datos</w:t>
      </w:r>
    </w:p>
    <w:p w:rsidR="00000000" w:rsidDel="00000000" w:rsidP="00000000" w:rsidRDefault="00000000" w:rsidRPr="00000000" w14:paraId="00000003">
      <w:pPr>
        <w:spacing w:after="40" w:before="40" w:line="288" w:lineRule="auto"/>
        <w:jc w:val="center"/>
        <w:rPr>
          <w:b w:val="1"/>
          <w:bCs w:val="1"/>
          <w:sz w:val="32"/>
          <w:szCs w:val="32"/>
        </w:rPr>
      </w:pPr>
      <w:r w:rsidDel="00000000" w:rsidR="00000000" w:rsidRPr="00000000">
        <w:rPr>
          <w:b w:val="1"/>
          <w:bCs w:val="1"/>
          <w:sz w:val="32"/>
          <w:szCs w:val="32"/>
          <w:rtl w:val="0"/>
        </w:rPr>
        <w:t xml:space="preserve">Trabajo Práctico Cuatrimestral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sz w:val="32"/>
          <w:szCs w:val="32"/>
        </w:rPr>
      </w:pPr>
      <w:r w:rsidDel="00000000" w:rsidR="00000000" w:rsidRPr="00000000">
        <w:rPr>
          <w:rtl w:val="0"/>
        </w:rPr>
      </w:r>
    </w:p>
    <w:p w:rsidR="00000000" w:rsidDel="00000000" w:rsidP="00000000" w:rsidRDefault="00000000" w:rsidRPr="00000000" w14:paraId="00000009">
      <w:pPr>
        <w:rPr>
          <w:i w:val="1"/>
          <w:iCs w:val="1"/>
          <w:sz w:val="32"/>
          <w:szCs w:val="32"/>
        </w:rPr>
      </w:pPr>
      <w:r w:rsidDel="00000000" w:rsidR="00000000" w:rsidRPr="00000000">
        <w:rPr>
          <w:rtl w:val="0"/>
        </w:rPr>
      </w:r>
    </w:p>
    <w:p w:rsidR="00000000" w:rsidDel="00000000" w:rsidP="00000000" w:rsidRDefault="00000000" w:rsidRPr="00000000" w14:paraId="0000000A">
      <w:pPr>
        <w:rPr>
          <w:i w:val="1"/>
          <w:iCs w:val="1"/>
          <w:sz w:val="32"/>
          <w:szCs w:val="32"/>
        </w:rPr>
      </w:pPr>
      <w:r w:rsidDel="00000000" w:rsidR="00000000" w:rsidRPr="00000000">
        <w:rPr>
          <w:rtl w:val="0"/>
        </w:rPr>
      </w:r>
    </w:p>
    <w:p w:rsidR="00000000" w:rsidDel="00000000" w:rsidP="00000000" w:rsidRDefault="00000000" w:rsidRPr="00000000" w14:paraId="0000000B">
      <w:pPr>
        <w:rPr>
          <w:i w:val="1"/>
          <w:iCs w:val="1"/>
          <w:sz w:val="32"/>
          <w:szCs w:val="32"/>
        </w:rPr>
      </w:pPr>
      <w:r w:rsidDel="00000000" w:rsidR="00000000" w:rsidRPr="00000000">
        <w:rPr>
          <w:rtl w:val="0"/>
        </w:rPr>
      </w:r>
    </w:p>
    <w:p w:rsidR="00000000" w:rsidDel="00000000" w:rsidP="00000000" w:rsidRDefault="00000000" w:rsidRPr="00000000" w14:paraId="0000000C">
      <w:pPr>
        <w:rPr>
          <w:i w:val="1"/>
          <w:iCs w:val="1"/>
          <w:sz w:val="32"/>
          <w:szCs w:val="32"/>
        </w:rPr>
      </w:pPr>
      <w:r w:rsidDel="00000000" w:rsidR="00000000" w:rsidRPr="00000000">
        <w:rPr>
          <w:rtl w:val="0"/>
        </w:rPr>
      </w:r>
    </w:p>
    <w:p w:rsidR="00000000" w:rsidDel="00000000" w:rsidP="00000000" w:rsidRDefault="00000000" w:rsidRPr="00000000" w14:paraId="0000000D">
      <w:pPr>
        <w:rPr>
          <w:i w:val="1"/>
          <w:iCs w:val="1"/>
          <w:sz w:val="32"/>
          <w:szCs w:val="32"/>
        </w:rPr>
      </w:pPr>
      <w:r w:rsidDel="00000000" w:rsidR="00000000" w:rsidRPr="00000000">
        <w:rPr>
          <w:rtl w:val="0"/>
        </w:rPr>
      </w:r>
    </w:p>
    <w:p w:rsidR="00000000" w:rsidDel="00000000" w:rsidP="00000000" w:rsidRDefault="00000000" w:rsidRPr="00000000" w14:paraId="0000000E">
      <w:pPr>
        <w:rPr>
          <w:i w:val="1"/>
          <w:iCs w:val="1"/>
          <w:sz w:val="32"/>
          <w:szCs w:val="32"/>
        </w:rPr>
      </w:pPr>
      <w:r w:rsidDel="00000000" w:rsidR="00000000" w:rsidRPr="00000000">
        <w:rPr>
          <w:rtl w:val="0"/>
        </w:rPr>
      </w:r>
    </w:p>
    <w:p w:rsidR="00000000" w:rsidDel="00000000" w:rsidP="00000000" w:rsidRDefault="00000000" w:rsidRPr="00000000" w14:paraId="0000000F">
      <w:pPr>
        <w:rPr>
          <w:i w:val="1"/>
          <w:iCs w:val="1"/>
          <w:sz w:val="32"/>
          <w:szCs w:val="32"/>
        </w:rPr>
      </w:pPr>
      <w:r w:rsidDel="00000000" w:rsidR="00000000" w:rsidRPr="00000000">
        <w:rPr>
          <w:rtl w:val="0"/>
        </w:rPr>
      </w:r>
    </w:p>
    <w:p w:rsidR="00000000" w:rsidDel="00000000" w:rsidP="00000000" w:rsidRDefault="00000000" w:rsidRPr="00000000" w14:paraId="00000010">
      <w:pPr>
        <w:rPr>
          <w:i w:val="1"/>
          <w:iCs w:val="1"/>
          <w:sz w:val="32"/>
          <w:szCs w:val="32"/>
        </w:rPr>
      </w:pPr>
      <w:r w:rsidDel="00000000" w:rsidR="00000000" w:rsidRPr="00000000">
        <w:rPr>
          <w:rtl w:val="0"/>
        </w:rPr>
      </w:r>
    </w:p>
    <w:p w:rsidR="00000000" w:rsidDel="00000000" w:rsidP="00000000" w:rsidRDefault="00000000" w:rsidRPr="00000000" w14:paraId="00000011">
      <w:pPr>
        <w:rPr>
          <w:i w:val="1"/>
          <w:iCs w:val="1"/>
          <w:sz w:val="32"/>
          <w:szCs w:val="32"/>
        </w:rPr>
      </w:pPr>
      <w:r w:rsidDel="00000000" w:rsidR="00000000" w:rsidRPr="00000000">
        <w:rPr>
          <w:rtl w:val="0"/>
        </w:rPr>
      </w:r>
    </w:p>
    <w:p w:rsidR="00000000" w:rsidDel="00000000" w:rsidP="00000000" w:rsidRDefault="00000000" w:rsidRPr="00000000" w14:paraId="00000012">
      <w:pPr>
        <w:rPr>
          <w:i w:val="1"/>
          <w:iCs w:val="1"/>
          <w:sz w:val="32"/>
          <w:szCs w:val="32"/>
        </w:rPr>
      </w:pPr>
      <w:r w:rsidDel="00000000" w:rsidR="00000000" w:rsidRPr="00000000">
        <w:rPr>
          <w:rtl w:val="0"/>
        </w:rPr>
      </w:r>
    </w:p>
    <w:p w:rsidR="00000000" w:rsidDel="00000000" w:rsidP="00000000" w:rsidRDefault="00000000" w:rsidRPr="00000000" w14:paraId="00000013">
      <w:pPr>
        <w:rPr>
          <w:i w:val="1"/>
          <w:iCs w:val="1"/>
          <w:sz w:val="32"/>
          <w:szCs w:val="32"/>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i w:val="1"/>
          <w:iCs w:val="1"/>
          <w:sz w:val="32"/>
          <w:szCs w:val="32"/>
          <w:rtl w:val="0"/>
        </w:rPr>
        <w:t xml:space="preserve">Grupo:</w:t>
      </w:r>
      <w:r w:rsidDel="00000000" w:rsidR="00000000" w:rsidRPr="00000000">
        <w:rPr>
          <w:sz w:val="26"/>
          <w:szCs w:val="26"/>
          <w:rtl w:val="0"/>
        </w:rPr>
        <w:t xml:space="preserve"> 2</w:t>
      </w:r>
    </w:p>
    <w:p w:rsidR="00000000" w:rsidDel="00000000" w:rsidP="00000000" w:rsidRDefault="00000000" w:rsidRPr="00000000" w14:paraId="00000015">
      <w:pPr>
        <w:spacing w:after="60" w:before="240" w:line="240" w:lineRule="auto"/>
        <w:rPr>
          <w:i w:val="1"/>
          <w:iCs w:val="1"/>
          <w:sz w:val="32"/>
          <w:szCs w:val="32"/>
        </w:rPr>
      </w:pPr>
      <w:r w:rsidDel="00000000" w:rsidR="00000000" w:rsidRPr="00000000">
        <w:rPr>
          <w:i w:val="1"/>
          <w:iCs w:val="1"/>
          <w:sz w:val="32"/>
          <w:szCs w:val="32"/>
          <w:rtl w:val="0"/>
        </w:rPr>
        <w:t xml:space="preserve">Profesores:</w:t>
      </w:r>
    </w:p>
    <w:p w:rsidR="00000000" w:rsidDel="00000000" w:rsidP="00000000" w:rsidRDefault="00000000" w:rsidRPr="00000000" w14:paraId="00000016">
      <w:pPr>
        <w:spacing w:after="40" w:before="40" w:line="288" w:lineRule="auto"/>
        <w:jc w:val="both"/>
        <w:rPr>
          <w:sz w:val="26"/>
          <w:szCs w:val="26"/>
        </w:rPr>
      </w:pPr>
      <w:r w:rsidDel="00000000" w:rsidR="00000000" w:rsidRPr="00000000">
        <w:rPr>
          <w:b w:val="1"/>
          <w:bCs w:val="1"/>
          <w:i w:val="1"/>
          <w:iCs w:val="1"/>
          <w:rtl w:val="0"/>
        </w:rPr>
        <w:t xml:space="preserve">Profesor a cargo del curso:</w:t>
      </w:r>
      <w:r w:rsidDel="00000000" w:rsidR="00000000" w:rsidRPr="00000000">
        <w:rPr>
          <w:i w:val="1"/>
          <w:iCs w:val="1"/>
          <w:rtl w:val="0"/>
        </w:rPr>
        <w:t xml:space="preserve"> </w:t>
      </w:r>
      <w:r w:rsidDel="00000000" w:rsidR="00000000" w:rsidRPr="00000000">
        <w:rPr>
          <w:sz w:val="26"/>
          <w:szCs w:val="26"/>
          <w:rtl w:val="0"/>
        </w:rPr>
        <w:t xml:space="preserve">Berruezo Mariano</w:t>
      </w:r>
    </w:p>
    <w:p w:rsidR="00000000" w:rsidDel="00000000" w:rsidP="00000000" w:rsidRDefault="00000000" w:rsidRPr="00000000" w14:paraId="00000017">
      <w:pPr>
        <w:spacing w:line="276" w:lineRule="auto"/>
        <w:jc w:val="left"/>
        <w:rPr>
          <w:sz w:val="26"/>
          <w:szCs w:val="26"/>
        </w:rPr>
      </w:pPr>
      <w:r w:rsidDel="00000000" w:rsidR="00000000" w:rsidRPr="00000000">
        <w:rPr>
          <w:b w:val="1"/>
          <w:bCs w:val="1"/>
          <w:i w:val="1"/>
          <w:iCs w:val="1"/>
          <w:rtl w:val="0"/>
        </w:rPr>
        <w:t xml:space="preserve">Profesor adjunto:</w:t>
      </w:r>
      <w:r w:rsidDel="00000000" w:rsidR="00000000" w:rsidRPr="00000000">
        <w:rPr>
          <w:sz w:val="26"/>
          <w:szCs w:val="26"/>
          <w:rtl w:val="0"/>
        </w:rPr>
        <w:t xml:space="preserve"> María Dolores Biondi</w:t>
      </w:r>
    </w:p>
    <w:p w:rsidR="00000000" w:rsidDel="00000000" w:rsidP="00000000" w:rsidRDefault="00000000" w:rsidRPr="00000000" w14:paraId="00000018">
      <w:pPr>
        <w:spacing w:line="276" w:lineRule="auto"/>
        <w:jc w:val="left"/>
        <w:rPr>
          <w:rFonts w:ascii="Times New Roman" w:cs="Times New Roman" w:eastAsia="Times New Roman" w:hAnsi="Times New Roman"/>
          <w:b w:val="1"/>
          <w:bCs w:val="1"/>
          <w:sz w:val="28"/>
          <w:szCs w:val="28"/>
        </w:rPr>
      </w:pPr>
      <w:r w:rsidDel="00000000" w:rsidR="00000000" w:rsidRPr="00000000">
        <w:rPr>
          <w:b w:val="1"/>
          <w:bCs w:val="1"/>
          <w:i w:val="1"/>
          <w:iCs w:val="1"/>
          <w:rtl w:val="0"/>
        </w:rPr>
        <w:t xml:space="preserve">Profesor adjunto:</w:t>
      </w:r>
      <w:r w:rsidDel="00000000" w:rsidR="00000000" w:rsidRPr="00000000">
        <w:rPr>
          <w:sz w:val="26"/>
          <w:szCs w:val="26"/>
          <w:rtl w:val="0"/>
        </w:rPr>
        <w:t xml:space="preserve"> Daniela Soto Perez</w:t>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Event sourcing para el seguimiento de zoonosis</w:t>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615.0" w:type="dxa"/>
        <w:jc w:val="center"/>
        <w:tblLayout w:type="fixed"/>
        <w:tblLook w:val="0600"/>
      </w:tblPr>
      <w:tblGrid>
        <w:gridCol w:w="4995"/>
        <w:gridCol w:w="4620"/>
        <w:tblGridChange w:id="0">
          <w:tblGrid>
            <w:gridCol w:w="4995"/>
            <w:gridCol w:w="4620"/>
          </w:tblGrid>
        </w:tblGridChange>
      </w:tblGrid>
      <w:tr>
        <w:trPr>
          <w:cantSplit w:val="0"/>
          <w:trHeight w:val="50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Ignacio Del Valle</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149.439-9</w:t>
            </w:r>
          </w:p>
          <w:p w:rsidR="00000000" w:rsidDel="00000000" w:rsidP="00000000" w:rsidRDefault="00000000" w:rsidRPr="00000000" w14:paraId="0000001D">
            <w:pPr>
              <w:jc w:val="center"/>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color w:val="1155cc"/>
                  <w:u w:val="single"/>
                  <w:rtl w:val="0"/>
                </w:rPr>
                <w:t xml:space="preserve">ignaciodelvalle2014@gmail.com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Camila Mariño</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143.520-6</w:t>
            </w:r>
          </w:p>
          <w:p w:rsidR="00000000" w:rsidDel="00000000" w:rsidP="00000000" w:rsidRDefault="00000000" w:rsidRPr="00000000" w14:paraId="00000020">
            <w:pPr>
              <w:jc w:val="cente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marinocam@frba.utn.edu.ar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Damián Costa</w:t>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149.935-0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155cc"/>
                <w:u w:val="single"/>
                <w:rtl w:val="0"/>
              </w:rPr>
              <w:t xml:space="preserve">dcosta@frba.utn.edu.ar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Goméz Nicolás</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163.465-3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155cc"/>
                <w:u w:val="single"/>
                <w:rtl w:val="0"/>
              </w:rPr>
              <w:t xml:space="preserve">nicgomez@frba.utn.edu.ar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Nicolás de Beruti</w:t>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149.700-5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dberuti@frba.utn.edu.ar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 Visser</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145.236-8</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155cc"/>
                <w:u w:val="single"/>
              </w:rPr>
            </w:pPr>
            <w:hyperlink r:id="rId9">
              <w:r w:rsidDel="00000000" w:rsidR="00000000" w:rsidRPr="00000000">
                <w:rPr>
                  <w:rFonts w:ascii="Times New Roman" w:cs="Times New Roman" w:eastAsia="Times New Roman" w:hAnsi="Times New Roman"/>
                  <w:color w:val="1155cc"/>
                  <w:u w:val="single"/>
                  <w:rtl w:val="0"/>
                </w:rPr>
                <w:t xml:space="preserve">lvisser@frba.utn.edu.ar</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155cc"/>
                <w:u w:val="single"/>
              </w:rPr>
            </w:pPr>
            <w:r w:rsidDel="00000000" w:rsidR="00000000" w:rsidRPr="00000000">
              <w:rPr>
                <w:rtl w:val="0"/>
              </w:rPr>
            </w:r>
          </w:p>
        </w:tc>
      </w:tr>
    </w:tbl>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sectPr>
          <w:pgSz w:h="16838" w:w="11906" w:orient="portrait"/>
          <w:pgMar w:bottom="2880" w:top="1440" w:left="1440" w:right="1440" w:header="720" w:footer="720"/>
          <w:pgNumType w:start="1"/>
        </w:sect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3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En la Ciudad de Buenos Aires, de un total aproximado de 770.000 animales, se reportan actualmente entre 20.000 y 30.000 fallecimientos de mascotas al año. El análisis del seguimiento de casos de zoonosis surge de la falta de centralización de información para el control de las mascotas. Entre las necesidades más urgentes se destacan: la falta de control sobre la disposición de animales, los controles de vacunación, seguimiento de enfermedades crónicas, reporte de zoonosis</w:t>
      </w:r>
      <w:r w:rsidDel="00000000" w:rsidR="00000000" w:rsidRPr="00000000">
        <w:rPr>
          <w:rFonts w:ascii="Times New Roman" w:cs="Times New Roman" w:eastAsia="Times New Roman" w:hAnsi="Times New Roman"/>
          <w:i w:val="1"/>
          <w:iCs w:val="1"/>
          <w:sz w:val="20"/>
          <w:szCs w:val="20"/>
          <w:vertAlign w:val="superscript"/>
        </w:rPr>
        <w:footnoteReference w:customMarkFollows="0" w:id="0"/>
      </w:r>
      <w:r w:rsidDel="00000000" w:rsidR="00000000" w:rsidRPr="00000000">
        <w:rPr>
          <w:rFonts w:ascii="Times New Roman" w:cs="Times New Roman" w:eastAsia="Times New Roman" w:hAnsi="Times New Roman"/>
          <w:i w:val="1"/>
          <w:iCs w:val="1"/>
          <w:sz w:val="20"/>
          <w:szCs w:val="20"/>
          <w:rtl w:val="0"/>
        </w:rPr>
        <w:t xml:space="preserve"> y estadísticas generales que permitan a las autoridades competentes tomar decisiones con sustento en datos históricos y de tiempo real. El texto consiste en el análisis, la modelización e implementación de una demo de base de datos para resolver la problemática de seguimiento de casos de interés sanitario. </w:t>
      </w:r>
    </w:p>
    <w:p w:rsidR="00000000" w:rsidDel="00000000" w:rsidP="00000000" w:rsidRDefault="00000000" w:rsidRPr="00000000" w14:paraId="00000033">
      <w:pPr>
        <w:spacing w:line="276" w:lineRule="auto"/>
        <w:ind w:left="-270"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0"/>
          <w:szCs w:val="20"/>
          <w:rtl w:val="0"/>
        </w:rPr>
        <w:t xml:space="preserve">Sanidad, vacunación, zoonosis, raza peligrosa, perros, gatos, animales, mascotas, disposición, cremación, sepelio, esterilización, base de datos, event sourcing. </w:t>
      </w:r>
    </w:p>
    <w:p w:rsidR="00000000" w:rsidDel="00000000" w:rsidP="00000000" w:rsidRDefault="00000000" w:rsidRPr="00000000" w14:paraId="0000003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Introduccion</w:t>
      </w:r>
    </w:p>
    <w:p w:rsidR="00000000" w:rsidDel="00000000" w:rsidP="00000000" w:rsidRDefault="00000000" w:rsidRPr="00000000" w14:paraId="0000003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El texto busca brindar un marco para que la administración pública pueda acceder a las herramientas básicas para el seguimiento de zoonosis y métodos de disposición de las mascotas. Que es una emergencia que amenaza a la Ciudad de Buenos Aires (de ahora en más Ciudad) desde hace años y que se materializó recientemente con la transmisión del SARS-CoV-2. Esto ha demostrado que, colectivamente, el mundo está mal preparado para combatir enfermedades de esta índole, y que debemos hacer una inversión en nuestro futuro si queremos garantizar que una pandemia de esta magnitud y gravedad no vuelva a ocurrir. La implementación de la demo en este texto presenta un compromiso ciudadano para llevar un control útil, eficiente y confiable de los animales con los que convivimos, que comienza por analizar nuestra situación actual y proponer una solución.</w:t>
      </w:r>
    </w:p>
    <w:p w:rsidR="00000000" w:rsidDel="00000000" w:rsidP="00000000" w:rsidRDefault="00000000" w:rsidRPr="00000000" w14:paraId="0000003A">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del problema</w:t>
      </w:r>
    </w:p>
    <w:p w:rsidR="00000000" w:rsidDel="00000000" w:rsidP="00000000" w:rsidRDefault="00000000" w:rsidRPr="00000000" w14:paraId="0000003C">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analizó en profundidad un informe de la Dirección General de Estadísticas y Censos, del Ministerio de Hacienda con el objetivo de conocer en qué medida los hogares de la Ciudad respetan y cumplen con los requerimientos de sanidad y atención de sus mascotas. En este informe se definen y caracterizan, en primer lugar, las distintas dimensiones asociadas al cuidado de las mascotas. En segundo lugar, se describen sucintamente las características de la Encuesta Anual de Hogares[1] (de ahora en más EAH) y del módulo sobre “Tenencia responsable y sanidad de perros y gatos”. En tercer lugar, se presentan los resultados más significativos de su aplicación, analizando por separado el perfil demográfico de las mascotas de la Ciudad, aspectos relacionados con su salud y cuidado y, por último, con el cuidado de un animal comunitario, dentro del apartado denominado “Conciencia ciudadana”. </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Cabe destacar que el programa Mascotas[3] de la Ciudad brinda atención veterinaria gratuita. Sin embargo, no existe actualmente una herramienta digital que centralice los diferentes aspectos que el programa promueve. </w:t>
      </w:r>
    </w:p>
    <w:p w:rsidR="00000000" w:rsidDel="00000000" w:rsidP="00000000" w:rsidRDefault="00000000" w:rsidRPr="00000000" w14:paraId="00000040">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información relevada en el informe es necesaria para orientar la gestión y aportar al diseño de la demo ya que posibilita:</w:t>
      </w:r>
    </w:p>
    <w:p w:rsidR="00000000" w:rsidDel="00000000" w:rsidP="00000000" w:rsidRDefault="00000000" w:rsidRPr="00000000" w14:paraId="00000042">
      <w:pPr>
        <w:numPr>
          <w:ilvl w:val="0"/>
          <w:numId w:val="8"/>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Determinar los componentes clave a almacenar.</w:t>
      </w:r>
    </w:p>
    <w:p w:rsidR="00000000" w:rsidDel="00000000" w:rsidP="00000000" w:rsidRDefault="00000000" w:rsidRPr="00000000" w14:paraId="00000043">
      <w:pPr>
        <w:numPr>
          <w:ilvl w:val="0"/>
          <w:numId w:val="8"/>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Establecer una línea base para medir el rendimiento y alcance del aplicativo.</w:t>
      </w:r>
    </w:p>
    <w:p w:rsidR="00000000" w:rsidDel="00000000" w:rsidP="00000000" w:rsidRDefault="00000000" w:rsidRPr="00000000" w14:paraId="00000044">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los resultados detallados en el informe, se evidencia que la cantidad de perros y gatos que están al cuidado de los hogares de la Ciudad está en crecimiento, y si bien su cuidado ha mejorado a comparación de estudios anteriores, será de especial interés para las autoridades un seguimiento cercano del mismo.</w:t>
      </w:r>
    </w:p>
    <w:p w:rsidR="00000000" w:rsidDel="00000000" w:rsidP="00000000" w:rsidRDefault="00000000" w:rsidRPr="00000000" w14:paraId="0000004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 del estudio</w:t>
      </w:r>
    </w:p>
    <w:p w:rsidR="00000000" w:rsidDel="00000000" w:rsidP="00000000" w:rsidRDefault="00000000" w:rsidRPr="00000000" w14:paraId="0000004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 lo largo de este proceso detectamos la falta de un sistema de trazabilidad sobre los siguientes procesos:</w:t>
      </w:r>
    </w:p>
    <w:p w:rsidR="00000000" w:rsidDel="00000000" w:rsidP="00000000" w:rsidRDefault="00000000" w:rsidRPr="00000000" w14:paraId="00000047">
      <w:pPr>
        <w:numPr>
          <w:ilvl w:val="0"/>
          <w:numId w:val="9"/>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cadáveres de animales.</w:t>
      </w:r>
    </w:p>
    <w:p w:rsidR="00000000" w:rsidDel="00000000" w:rsidP="00000000" w:rsidRDefault="00000000" w:rsidRPr="00000000" w14:paraId="00000048">
      <w:pPr>
        <w:numPr>
          <w:ilvl w:val="0"/>
          <w:numId w:val="9"/>
        </w:numPr>
        <w:spacing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Gestión de vacunación de animales.</w:t>
      </w:r>
    </w:p>
    <w:p w:rsidR="00000000" w:rsidDel="00000000" w:rsidP="00000000" w:rsidRDefault="00000000" w:rsidRPr="00000000" w14:paraId="00000049">
      <w:pPr>
        <w:numPr>
          <w:ilvl w:val="0"/>
          <w:numId w:val="9"/>
        </w:numPr>
        <w:spacing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Gestión de visitas veterinarias.</w:t>
      </w:r>
    </w:p>
    <w:p w:rsidR="00000000" w:rsidDel="00000000" w:rsidP="00000000" w:rsidRDefault="00000000" w:rsidRPr="00000000" w14:paraId="0000004A">
      <w:pPr>
        <w:numPr>
          <w:ilvl w:val="0"/>
          <w:numId w:val="9"/>
        </w:numPr>
        <w:spacing w:line="276"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Gestión de medicamentos administrados.</w:t>
      </w:r>
    </w:p>
    <w:p w:rsidR="00000000" w:rsidDel="00000000" w:rsidP="00000000" w:rsidRDefault="00000000" w:rsidRPr="00000000" w14:paraId="0000004B">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04E">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El texto propone realizar un seguimiento de todos los acontecimientos relevantes para la salud y bienestar de las mascotas a lo largo de su vida. Desde que nacen, sus visitas médicas con diferentes propósitos, medicamentos administrados, vacunas recibidas, eventual castración, causa de defunción, hasta el método de disposición de sus restos. </w:t>
      </w:r>
    </w:p>
    <w:p w:rsidR="00000000" w:rsidDel="00000000" w:rsidP="00000000" w:rsidRDefault="00000000" w:rsidRPr="00000000" w14:paraId="00000050">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lograr esto, desarrollaremos una demo de base de datos con aplicación de un patrón de arquitectura llamado “Event Sourcing” (de ahora en más ES).</w:t>
      </w:r>
    </w:p>
    <w:p w:rsidR="00000000" w:rsidDel="00000000" w:rsidP="00000000" w:rsidRDefault="00000000" w:rsidRPr="00000000" w14:paraId="00000052">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 con event sourcing</w:t>
      </w:r>
    </w:p>
    <w:p w:rsidR="00000000" w:rsidDel="00000000" w:rsidP="00000000" w:rsidRDefault="00000000" w:rsidRPr="00000000" w14:paraId="00000054">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ES[4] es un patrón de arquitectura que define un enfoque para las operaciones de manipulación de  datos. La idea es crear una secuencia de eventos , cada uno de los cuales se registra en una base. ES trata de almacenar todo el estado del sistema únicamente como una secuencia ordenada de eventos.</w:t>
      </w:r>
    </w:p>
    <w:p w:rsidR="00000000" w:rsidDel="00000000" w:rsidP="00000000" w:rsidRDefault="00000000" w:rsidRPr="00000000" w14:paraId="00000056">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idea principal de ES es que cada cambio en el estado de la aplicación es capturado en un objeto evento y estos objetos se guardan en la secuencia que han sido aplicados. Entonces la pregunta es, ¿Qué nos aporta este patrón que no podamos conseguir haciendo un sistema de log?</w:t>
      </w:r>
    </w:p>
    <w:p w:rsidR="00000000" w:rsidDel="00000000" w:rsidP="00000000" w:rsidRDefault="00000000" w:rsidRPr="00000000" w14:paraId="0000005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clave es que podemos garantizar que todos los cambios serán iniciados por eventos. Esto nos garantiza que podemos reconstruir la aplicación desde el principio y llevarla hasta el estado actual o uno anterior.</w:t>
      </w:r>
    </w:p>
    <w:p w:rsidR="00000000" w:rsidDel="00000000" w:rsidP="00000000" w:rsidRDefault="00000000" w:rsidRPr="00000000" w14:paraId="00000059">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Además podemos realizar consultas temporales, determinando el estado de la aplicación en cualquier punto y podemos repetir un evento que causó problemas, simplemente ese evento, y volver a ejecutar los eventos posteriores.</w:t>
      </w:r>
    </w:p>
    <w:p w:rsidR="00000000" w:rsidDel="00000000" w:rsidP="00000000" w:rsidRDefault="00000000" w:rsidRPr="00000000" w14:paraId="0000005B">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w:t>
      </w:r>
    </w:p>
    <w:p w:rsidR="00000000" w:rsidDel="00000000" w:rsidP="00000000" w:rsidRDefault="00000000" w:rsidRPr="00000000" w14:paraId="0000005D">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Con la implementación de una base de datos con ES buscamos dar herramientas de control a las autoridades. Podemos destacar los siguientes beneficios inmediatos asociados a la adopción del modelo:</w:t>
      </w:r>
    </w:p>
    <w:p w:rsidR="00000000" w:rsidDel="00000000" w:rsidP="00000000" w:rsidRDefault="00000000" w:rsidRPr="00000000" w14:paraId="0000005F">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numPr>
          <w:ilvl w:val="0"/>
          <w:numId w:val="1"/>
        </w:numPr>
        <w:spacing w:after="0" w:afterAutospacing="0" w:before="4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Aumento en el control sobre los procesos claves de sanidad, como ser disposición, vacunación, castración, tratamientos médicos, entre otros.  </w:t>
      </w:r>
    </w:p>
    <w:p w:rsidR="00000000" w:rsidDel="00000000" w:rsidP="00000000" w:rsidRDefault="00000000" w:rsidRPr="00000000" w14:paraId="00000061">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Escalabilidad y resistencia a la falla de sistemas que utilicen la base de datos. </w:t>
      </w:r>
    </w:p>
    <w:p w:rsidR="00000000" w:rsidDel="00000000" w:rsidP="00000000" w:rsidRDefault="00000000" w:rsidRPr="00000000" w14:paraId="00000062">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Registros de auditoría confiables. </w:t>
      </w:r>
    </w:p>
    <w:p w:rsidR="00000000" w:rsidDel="00000000" w:rsidP="00000000" w:rsidRDefault="00000000" w:rsidRPr="00000000" w14:paraId="00000063">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Disminución de los riesgos ambientales referidos a la disposición final de las mascotas.</w:t>
      </w:r>
    </w:p>
    <w:p w:rsidR="00000000" w:rsidDel="00000000" w:rsidP="00000000" w:rsidRDefault="00000000" w:rsidRPr="00000000" w14:paraId="00000064">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del uso de documentación física.</w:t>
      </w:r>
    </w:p>
    <w:p w:rsidR="00000000" w:rsidDel="00000000" w:rsidP="00000000" w:rsidRDefault="00000000" w:rsidRPr="00000000" w14:paraId="00000065">
      <w:pPr>
        <w:numPr>
          <w:ilvl w:val="0"/>
          <w:numId w:val="1"/>
        </w:numPr>
        <w:spacing w:after="16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Presentación de estadísticas para la toma de decisiones.</w:t>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68">
      <w:pPr>
        <w:numPr>
          <w:ilvl w:val="0"/>
          <w:numId w:val="4"/>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Trazabilidad de operaciones</w:t>
      </w:r>
    </w:p>
    <w:p w:rsidR="00000000" w:rsidDel="00000000" w:rsidP="00000000" w:rsidRDefault="00000000" w:rsidRPr="00000000" w14:paraId="00000069">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0"/>
          <w:szCs w:val="20"/>
          <w:rtl w:val="0"/>
        </w:rPr>
        <w:t xml:space="preserve">El patrón aplicado provee registros de auditoría confiables. Y permite la implementación de consultas temporales para determinar el estado de una entidad en cualquier momento. </w:t>
      </w: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numPr>
          <w:ilvl w:val="0"/>
          <w:numId w:val="6"/>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Arquitectura</w:t>
      </w:r>
    </w:p>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numPr>
          <w:ilvl w:val="0"/>
          <w:numId w:val="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Base de datos</w:t>
      </w:r>
    </w:p>
    <w:p w:rsidR="00000000" w:rsidDel="00000000" w:rsidP="00000000" w:rsidRDefault="00000000" w:rsidRPr="00000000" w14:paraId="0000006F">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ya se comentó, se utilizarán patrones de ES para el diseño de la base de datos con eventos alineados a casos de uso. Los detalles particulares de la base de datos son explicados en el “Modelo de demostración”.</w:t>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numPr>
          <w:ilvl w:val="0"/>
          <w:numId w:val="7"/>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Escalabilidad</w:t>
      </w:r>
    </w:p>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lógica de bases con ES facilita la migración de aplicaciones monolíticas a una arquitectura de microservicios, lo cual agrega gran flexibilidad a la solución. </w:t>
      </w:r>
    </w:p>
    <w:p w:rsidR="00000000" w:rsidDel="00000000" w:rsidP="00000000" w:rsidRDefault="00000000" w:rsidRPr="00000000" w14:paraId="00000075">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legal</w:t>
      </w:r>
    </w:p>
    <w:p w:rsidR="00000000" w:rsidDel="00000000" w:rsidP="00000000" w:rsidRDefault="00000000" w:rsidRPr="00000000" w14:paraId="00000077">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se desarrolla en torno a la Ley CABA  Nº: 5470 / 2015 [2] que dispone la creación de un proceso especial para la cremación de caninos y felinos domésticos en el ámbito de la C.A.B.A.</w:t>
      </w:r>
    </w:p>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demostración</w:t>
      </w:r>
      <w:r w:rsidDel="00000000" w:rsidR="00000000" w:rsidRPr="00000000">
        <w:rPr>
          <w:rtl w:val="0"/>
        </w:rPr>
      </w:r>
    </w:p>
    <w:p w:rsidR="00000000" w:rsidDel="00000000" w:rsidP="00000000" w:rsidRDefault="00000000" w:rsidRPr="00000000" w14:paraId="0000007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0"/>
          <w:szCs w:val="20"/>
          <w:rtl w:val="0"/>
        </w:rPr>
        <w:t xml:space="preserve">El modelo de demostración de este patrón de arquitectura busca materializar la teoría expuesta en este texto académico, en una base de datos consolidada que permita tanto la escritura de eventos, como la lectura de proyecciones a partir de los mismos. </w:t>
      </w:r>
    </w:p>
    <w:p w:rsidR="00000000" w:rsidDel="00000000" w:rsidP="00000000" w:rsidRDefault="00000000" w:rsidRPr="00000000" w14:paraId="0000007D">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la implementación de la misma, se utilizó el lenguaje Node.js, y un motor de bases de datos MongoDB. Cabe destacar que, además de la aplicación de ES como factor diferenciador, el modelo utiliza otros patrones de diseño de base de datos. Es de destacar el patrón Command and Query Responsibility Segregation[5] (CQRS) encargado de la distinción entre los modelos para escritura y lectura. </w:t>
      </w:r>
    </w:p>
    <w:p w:rsidR="00000000" w:rsidDel="00000000" w:rsidP="00000000" w:rsidRDefault="00000000" w:rsidRPr="00000000" w14:paraId="0000007F">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demostración considera eventos de diferentes tipo, relevados según las necesidades de las mascotas en CABA. Sin embargo, la naturaleza polimórfica de los mismos permite una variedad de modificaciones y por ende gran potencial escalabilidad. </w:t>
      </w:r>
    </w:p>
    <w:p w:rsidR="00000000" w:rsidDel="00000000" w:rsidP="00000000" w:rsidRDefault="00000000" w:rsidRPr="00000000" w14:paraId="00000081">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eventos cuentan con la siguiente estructura:</w:t>
      </w:r>
    </w:p>
    <w:p w:rsidR="00000000" w:rsidDel="00000000" w:rsidP="00000000" w:rsidRDefault="00000000" w:rsidRPr="00000000" w14:paraId="00000083">
      <w:pPr>
        <w:spacing w:line="276" w:lineRule="auto"/>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2"/>
        <w:tblW w:w="44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4"/>
        <w:tblGridChange w:id="0">
          <w:tblGrid>
            <w:gridCol w:w="4455.4"/>
          </w:tblGrid>
        </w:tblGridChange>
      </w:tblGrid>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eventSchema = mongoose.Schema({</w:t>
            </w:r>
          </w:p>
          <w:p w:rsidR="00000000" w:rsidDel="00000000" w:rsidP="00000000" w:rsidRDefault="00000000" w:rsidRPr="00000000" w14:paraId="0000008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eventId: {type: String,required: true},</w:t>
            </w:r>
          </w:p>
          <w:p w:rsidR="00000000" w:rsidDel="00000000" w:rsidP="00000000" w:rsidRDefault="00000000" w:rsidRPr="00000000" w14:paraId="0000008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petId: {type: String,required: true,}, </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regionId: {type: String,required: true}, </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{type: String,required: true,},</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payload: {type: String,required: true,},}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8B">
      <w:pPr>
        <w:spacing w:line="276"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1. Estructura de evento</w:t>
      </w:r>
    </w:p>
    <w:p w:rsidR="00000000" w:rsidDel="00000000" w:rsidP="00000000" w:rsidRDefault="00000000" w:rsidRPr="00000000" w14:paraId="0000008C">
      <w:pPr>
        <w:spacing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los eventos en este contexto serán instancias de interés sanitario que son resguardadas en la base de datos para su posterior consulta y análisis. Es de interés destacar que para el alcance propuesto para esta demostración, los tipos de evento disponibles son:</w:t>
      </w:r>
    </w:p>
    <w:p w:rsidR="00000000" w:rsidDel="00000000" w:rsidP="00000000" w:rsidRDefault="00000000" w:rsidRPr="00000000" w14:paraId="0000008E">
      <w:pPr>
        <w:numPr>
          <w:ilvl w:val="0"/>
          <w:numId w:val="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fallecimiento - Cremación o sepelio</w:t>
      </w:r>
    </w:p>
    <w:p w:rsidR="00000000" w:rsidDel="00000000" w:rsidP="00000000" w:rsidRDefault="00000000" w:rsidRPr="00000000" w14:paraId="0000008F">
      <w:pPr>
        <w:numPr>
          <w:ilvl w:val="0"/>
          <w:numId w:val="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visita al veterinario - vacunación, castración, desparasitación y chequeo.</w:t>
      </w:r>
    </w:p>
    <w:p w:rsidR="00000000" w:rsidDel="00000000" w:rsidP="00000000" w:rsidRDefault="00000000" w:rsidRPr="00000000" w14:paraId="00000090">
      <w:pPr>
        <w:numPr>
          <w:ilvl w:val="0"/>
          <w:numId w:val="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medicamento asignado - dosis y medicamento</w:t>
      </w:r>
    </w:p>
    <w:p w:rsidR="00000000" w:rsidDel="00000000" w:rsidP="00000000" w:rsidRDefault="00000000" w:rsidRPr="00000000" w14:paraId="00000091">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embargo, el sistema no se verá limitado por estos. Ya que cualquier información adicional sobre el tipo de evento podrá ser interpretada a través del payload del registro. </w:t>
      </w:r>
    </w:p>
    <w:p w:rsidR="00000000" w:rsidDel="00000000" w:rsidP="00000000" w:rsidRDefault="00000000" w:rsidRPr="00000000" w14:paraId="00000093">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código de la demostración y su base de datos de ejemplo están disponibles en el repositorio GitHub[6] del equipo a cargo del texto.</w:t>
      </w:r>
    </w:p>
    <w:p w:rsidR="00000000" w:rsidDel="00000000" w:rsidP="00000000" w:rsidRDefault="00000000" w:rsidRPr="00000000" w14:paraId="00000095">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9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modelo vigente de control, o falta de éste, sobre nuestras mascotas no es suficiente para las demandantes necesidades de ciudades en constante crecimiento. Un modelado de base de datos con aplicación de ES ayudará a la ciudad a dar un paso más adelante en la carrera de las ciudades modernas e inteligentes, digitalizando otro de sus servicios, proporcionando a las autoridades sanitarias la información necesaria para una mejor toma de decisiones y brindando mayor control sobre el tratamiento de zoonosis.  </w:t>
        <w:br w:type="textWrapping"/>
      </w:r>
    </w:p>
    <w:p w:rsidR="00000000" w:rsidDel="00000000" w:rsidP="00000000" w:rsidRDefault="00000000" w:rsidRPr="00000000" w14:paraId="0000009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276" w:lineRule="auto"/>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0BC">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[1]Dirección General de Estadística y Censos, Informe módulo de Tenencia responsable y sanidad de perros y gatos. Encuesta Anual de Hogares 2018, </w:t>
      </w:r>
      <w:hyperlink r:id="rId10">
        <w:r w:rsidDel="00000000" w:rsidR="00000000" w:rsidRPr="00000000">
          <w:rPr>
            <w:rFonts w:ascii="Times New Roman" w:cs="Times New Roman" w:eastAsia="Times New Roman" w:hAnsi="Times New Roman"/>
            <w:color w:val="1155cc"/>
            <w:sz w:val="20"/>
            <w:szCs w:val="20"/>
            <w:u w:val="single"/>
            <w:rtl w:val="0"/>
          </w:rPr>
          <w:t xml:space="preserve">&lt;estadisticaciudad.gob.ar/eyc/wp-content/uploads/2020/01/eah_2018_tenencia_responsable_perros_gatos.pdf&gt;</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D">
      <w:pPr>
        <w:numPr>
          <w:ilvl w:val="0"/>
          <w:numId w:val="3"/>
        </w:numPr>
        <w:spacing w:line="276" w:lineRule="auto"/>
        <w:ind w:left="720" w:hanging="360"/>
      </w:pPr>
      <w:r w:rsidDel="00000000" w:rsidR="00000000" w:rsidRPr="00000000">
        <w:rPr>
          <w:rFonts w:ascii="Times New Roman" w:cs="Times New Roman" w:eastAsia="Times New Roman" w:hAnsi="Times New Roman"/>
          <w:sz w:val="20"/>
          <w:szCs w:val="20"/>
          <w:rtl w:val="0"/>
        </w:rPr>
        <w:t xml:space="preserve">[2]Ley CABA  Nº: 5470, 2016, </w:t>
      </w:r>
      <w:hyperlink r:id="rId11">
        <w:r w:rsidDel="00000000" w:rsidR="00000000" w:rsidRPr="00000000">
          <w:rPr>
            <w:rFonts w:ascii="Times New Roman" w:cs="Times New Roman" w:eastAsia="Times New Roman" w:hAnsi="Times New Roman"/>
            <w:color w:val="1155cc"/>
            <w:sz w:val="20"/>
            <w:szCs w:val="20"/>
            <w:u w:val="single"/>
            <w:rtl w:val="0"/>
          </w:rPr>
          <w:t xml:space="preserve">&lt;cedom.gob.ar/es/legislacion/normas/leyes/ley5470.html&gt;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E">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[3]Gobierno de la Ciudad de Buenos Aires, Mascotas CABA, </w:t>
      </w:r>
      <w:hyperlink r:id="rId12">
        <w:r w:rsidDel="00000000" w:rsidR="00000000" w:rsidRPr="00000000">
          <w:rPr>
            <w:rFonts w:ascii="Times New Roman" w:cs="Times New Roman" w:eastAsia="Times New Roman" w:hAnsi="Times New Roman"/>
            <w:color w:val="1155cc"/>
            <w:sz w:val="20"/>
            <w:szCs w:val="20"/>
            <w:u w:val="single"/>
            <w:rtl w:val="0"/>
          </w:rPr>
          <w:t xml:space="preserve">&lt;buenosaires.gob.ar/agenciaambiental/mascotas&gt;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F">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[4]Event Sourcing pattern, Microsoft Documentation, </w:t>
      </w:r>
      <w:hyperlink r:id="rId13">
        <w:r w:rsidDel="00000000" w:rsidR="00000000" w:rsidRPr="00000000">
          <w:rPr>
            <w:rFonts w:ascii="Times New Roman" w:cs="Times New Roman" w:eastAsia="Times New Roman" w:hAnsi="Times New Roman"/>
            <w:color w:val="1155cc"/>
            <w:sz w:val="20"/>
            <w:szCs w:val="20"/>
            <w:u w:val="single"/>
            <w:rtl w:val="0"/>
          </w:rPr>
          <w:t xml:space="preserve">&lt;docs.microsoft.com/en-us/azure/architecture/patterns/event-sourcing&gt;</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0">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[5]Command and Query Responsibility Segregation, Microsoft Documentation, </w:t>
      </w:r>
      <w:hyperlink r:id="rId14">
        <w:r w:rsidDel="00000000" w:rsidR="00000000" w:rsidRPr="00000000">
          <w:rPr>
            <w:rFonts w:ascii="Times New Roman" w:cs="Times New Roman" w:eastAsia="Times New Roman" w:hAnsi="Times New Roman"/>
            <w:color w:val="1155cc"/>
            <w:sz w:val="20"/>
            <w:szCs w:val="20"/>
            <w:u w:val="single"/>
            <w:rtl w:val="0"/>
          </w:rPr>
          <w:t xml:space="preserve">&lt;docs.microsoft.com/en-us/azure/architecture/patterns/cqrs&gt;</w:t>
        </w:r>
      </w:hyperlink>
      <w:r w:rsidDel="00000000" w:rsidR="00000000" w:rsidRPr="00000000">
        <w:rPr>
          <w:rtl w:val="0"/>
        </w:rPr>
      </w:r>
    </w:p>
    <w:p w:rsidR="00000000" w:rsidDel="00000000" w:rsidP="00000000" w:rsidRDefault="00000000" w:rsidRPr="00000000" w14:paraId="000000C1">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[6]Zoonosis Event Sourcing, GitHub. </w:t>
      </w:r>
      <w:hyperlink r:id="rId15">
        <w:r w:rsidDel="00000000" w:rsidR="00000000" w:rsidRPr="00000000">
          <w:rPr>
            <w:rFonts w:ascii="Times New Roman" w:cs="Times New Roman" w:eastAsia="Times New Roman" w:hAnsi="Times New Roman"/>
            <w:color w:val="1155cc"/>
            <w:sz w:val="20"/>
            <w:szCs w:val="20"/>
            <w:u w:val="single"/>
            <w:rtl w:val="0"/>
          </w:rPr>
          <w:t xml:space="preserve">&lt;github.com/ndeberuti/zoonosis-event-sourcing&gt;</w:t>
        </w:r>
      </w:hyperlink>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0C6">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51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tblGridChange w:id="0">
          <w:tblGrid>
            <w:gridCol w:w="5160"/>
          </w:tblGrid>
        </w:tblGridChange>
      </w:tblGrid>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project(events) {</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projection = events.reduce(applyEventToRegion, {  visitas: {}, fallecimientos: {}, medicamentos: {} });</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projection;</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applyEventToRegion(region, event) {</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 type } = event;</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eventMapper = {</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 xml:space="preserve">['fallecimiento']: addFallecimiento,</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 xml:space="preserve">['visita']: addVisita,</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 xml:space="preserve">['medicamento']: addMedicamento</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eventMapper[type](region, event);</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D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2. Función de proyección</w:t>
      </w:r>
    </w:p>
    <w:p w:rsidR="00000000" w:rsidDel="00000000" w:rsidP="00000000" w:rsidRDefault="00000000" w:rsidRPr="00000000" w14:paraId="000000D5">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4"/>
        <w:tblW w:w="51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tblGridChange w:id="0">
          <w:tblGrid>
            <w:gridCol w:w="5160"/>
          </w:tblGrid>
        </w:tblGridChange>
      </w:tblGrid>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addFallecimiento(region, event) {</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(region.fallecimientos[event.payload.motivo]) {</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region.fallecimientos[event.payload.motivo].qty++;</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else {</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region.fallecimientos[event.payload.motivo] = { qty: 1,};</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addQtyEvento(region);</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addVisita(region, event) {</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(region.visitas[event.payload.motivo]) {</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region.visitas[event.payload.motivo].qty++;</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else {</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region.visitas[event.payload.motivo] = {qty: 1,};</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addQtyEvento(region);</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addMedicamento(region, event) {</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(region.medicamentos[event.payload.medicamento]) {</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region.medicamentos[event.payload.medicamento].qty++;</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else {</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region.medicamentos[event.payload.medicamento] = {qty:    1,};</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addQtyEvento(region);</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addQtyEvento(region)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(region.qtyEvento) {</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region.qtyEvento++;</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else {</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region.qtyEvento = 1;</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region;</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F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Tabla 3. Agregación de cada evento</w:t>
      </w:r>
      <w:r w:rsidDel="00000000" w:rsidR="00000000" w:rsidRPr="00000000">
        <w:rPr>
          <w:rtl w:val="0"/>
        </w:rPr>
      </w:r>
    </w:p>
    <w:p w:rsidR="00000000" w:rsidDel="00000000" w:rsidP="00000000" w:rsidRDefault="00000000" w:rsidRPr="00000000" w14:paraId="000000F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type w:val="continuous"/>
      <w:pgSz w:h="16838" w:w="11906" w:orient="portrait"/>
      <w:pgMar w:bottom="1699.1999999999998" w:top="1699.1999999999998" w:left="1137.6000000000001" w:right="1137.6000000000001" w:header="720" w:footer="720"/>
      <w:cols w:equalWidth="0" w:num="2">
        <w:col w:space="720" w:w="4455.4"/>
        <w:col w:space="0" w:w="4455.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i w:val="1"/>
          <w:iCs w:val="1"/>
          <w:sz w:val="20"/>
          <w:szCs w:val="20"/>
          <w:rtl w:val="0"/>
        </w:rPr>
        <w:t xml:space="preserve"> Enfermedad o infección que se da en los animales y que es transmisible a las personas en condiciones naturales.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2.cedom.gob.ar/es/legislacion/normas/leyes/ley5470.html" TargetMode="External"/><Relationship Id="rId10" Type="http://schemas.openxmlformats.org/officeDocument/2006/relationships/hyperlink" Target="https://www.estadisticaciudad.gob.ar/eyc/wp-content/uploads/2020/01/eah_2018_tenencia_responsable_perros_gatos.pdf" TargetMode="External"/><Relationship Id="rId13" Type="http://schemas.openxmlformats.org/officeDocument/2006/relationships/hyperlink" Target="https://docs.microsoft.com/en-us/azure/architecture/patterns/event-sourcing" TargetMode="External"/><Relationship Id="rId12" Type="http://schemas.openxmlformats.org/officeDocument/2006/relationships/hyperlink" Target="https://www.buenosaires.gob.ar/agenciaambiental/mascot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lvisser@frba.utn.edu.ar" TargetMode="External"/><Relationship Id="rId15" Type="http://schemas.openxmlformats.org/officeDocument/2006/relationships/hyperlink" Target="https://github.com/ndeberuti/zoonosis-event-sourcing" TargetMode="External"/><Relationship Id="rId14" Type="http://schemas.openxmlformats.org/officeDocument/2006/relationships/hyperlink" Target="https://docs.microsoft.com/en-us/azure/architecture/patterns/cqr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ignaciodelvalle20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