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17B7" w:rsidRPr="00C61F34" w:rsidRDefault="002D0905" w:rsidP="00C61F34">
      <w:pPr>
        <w:pStyle w:val="Ttulo1"/>
        <w:spacing w:before="240"/>
        <w:rPr>
          <w:rFonts w:asciiTheme="minorHAnsi" w:hAnsiTheme="minorHAnsi" w:cstheme="minorHAnsi"/>
          <w:color w:val="auto"/>
          <w:sz w:val="44"/>
          <w:szCs w:val="44"/>
          <w:u w:val="single"/>
        </w:rPr>
      </w:pPr>
      <w:r w:rsidRPr="00C61F34">
        <w:rPr>
          <w:rFonts w:asciiTheme="minorHAnsi" w:hAnsiTheme="minorHAnsi" w:cstheme="minorHAnsi"/>
          <w:color w:val="auto"/>
          <w:sz w:val="44"/>
          <w:szCs w:val="44"/>
          <w:u w:val="single"/>
        </w:rPr>
        <w:t>Metadatos y control de calidad</w:t>
      </w:r>
    </w:p>
    <w:p w:rsidR="002D0905" w:rsidRDefault="002D0905">
      <w:r>
        <w:t xml:space="preserve">Este </w:t>
      </w:r>
      <w:r w:rsidR="00F70F48">
        <w:t>documento recoge los metadatos de la información disponible en la base de datos del Centro Oceanográfico de A Coruña, así como los controles de calidad aplicados a las variables más relevantes.</w:t>
      </w:r>
    </w:p>
    <w:p w:rsidR="002E40E6" w:rsidRDefault="002E40E6" w:rsidP="009A4CF1">
      <w:pPr>
        <w:pStyle w:val="Ttulo2"/>
        <w:numPr>
          <w:ilvl w:val="0"/>
          <w:numId w:val="1"/>
        </w:numPr>
      </w:pPr>
      <w:r>
        <w:t xml:space="preserve">Variables disponibles </w:t>
      </w:r>
    </w:p>
    <w:p w:rsidR="00F70F48" w:rsidRDefault="00F70F48">
      <w:r>
        <w:t>En la</w:t>
      </w:r>
      <w:r w:rsidR="002E40E6">
        <w:t xml:space="preserve"> </w:t>
      </w:r>
      <w:r w:rsidR="002E40E6">
        <w:fldChar w:fldCharType="begin"/>
      </w:r>
      <w:r w:rsidR="002E40E6">
        <w:instrText xml:space="preserve"> REF _Ref120697792 \h </w:instrText>
      </w:r>
      <w:r w:rsidR="002E40E6">
        <w:fldChar w:fldCharType="separate"/>
      </w:r>
      <w:r w:rsidR="002E40E6" w:rsidRPr="002E40E6">
        <w:t xml:space="preserve">Tabla </w:t>
      </w:r>
      <w:r w:rsidR="002E40E6">
        <w:rPr>
          <w:noProof/>
        </w:rPr>
        <w:t>1</w:t>
      </w:r>
      <w:r w:rsidR="002E40E6">
        <w:fldChar w:fldCharType="end"/>
      </w:r>
      <w:r>
        <w:t xml:space="preserve"> se resumen las variables oceanográficas disponibles en la base de datos, así como sus unidades y una breve descripción.</w:t>
      </w:r>
    </w:p>
    <w:tbl>
      <w:tblPr>
        <w:tblStyle w:val="Sombreadoclaro-nfasis1"/>
        <w:tblW w:w="0" w:type="auto"/>
        <w:jc w:val="center"/>
        <w:tblLook w:val="04A0"/>
      </w:tblPr>
      <w:tblGrid>
        <w:gridCol w:w="1825"/>
        <w:gridCol w:w="5654"/>
        <w:gridCol w:w="1165"/>
      </w:tblGrid>
      <w:tr w:rsidR="00F70F48" w:rsidRPr="00C24C3F" w:rsidTr="00C24C3F">
        <w:trPr>
          <w:cnfStyle w:val="100000000000"/>
          <w:jc w:val="center"/>
        </w:trPr>
        <w:tc>
          <w:tcPr>
            <w:cnfStyle w:val="001000000000"/>
            <w:tcW w:w="1825" w:type="dxa"/>
          </w:tcPr>
          <w:p w:rsidR="00F70F48" w:rsidRPr="00C24C3F" w:rsidRDefault="00F70F48" w:rsidP="00C24C3F">
            <w:pPr>
              <w:jc w:val="center"/>
              <w:rPr>
                <w:color w:val="auto"/>
              </w:rPr>
            </w:pPr>
            <w:r w:rsidRPr="00C24C3F">
              <w:rPr>
                <w:color w:val="auto"/>
              </w:rPr>
              <w:t>Nombre de la variable</w:t>
            </w:r>
          </w:p>
        </w:tc>
        <w:tc>
          <w:tcPr>
            <w:tcW w:w="5654" w:type="dxa"/>
          </w:tcPr>
          <w:p w:rsidR="00F70F48" w:rsidRPr="00C24C3F" w:rsidRDefault="00F70F48" w:rsidP="00C24C3F">
            <w:pPr>
              <w:jc w:val="center"/>
              <w:cnfStyle w:val="100000000000"/>
              <w:rPr>
                <w:color w:val="auto"/>
              </w:rPr>
            </w:pPr>
            <w:r w:rsidRPr="00C24C3F">
              <w:rPr>
                <w:color w:val="auto"/>
              </w:rPr>
              <w:t>Descripción</w:t>
            </w:r>
          </w:p>
        </w:tc>
        <w:tc>
          <w:tcPr>
            <w:tcW w:w="1165" w:type="dxa"/>
          </w:tcPr>
          <w:p w:rsidR="00F70F48" w:rsidRPr="00C24C3F" w:rsidRDefault="00F70F48" w:rsidP="00C24C3F">
            <w:pPr>
              <w:jc w:val="center"/>
              <w:cnfStyle w:val="100000000000"/>
              <w:rPr>
                <w:color w:val="auto"/>
              </w:rPr>
            </w:pPr>
            <w:r w:rsidRPr="00C24C3F">
              <w:rPr>
                <w:color w:val="auto"/>
              </w:rPr>
              <w:t>Unidades</w:t>
            </w:r>
          </w:p>
        </w:tc>
      </w:tr>
      <w:tr w:rsidR="00F70F48" w:rsidRPr="00C24C3F" w:rsidTr="00C24C3F">
        <w:trPr>
          <w:cnfStyle w:val="000000100000"/>
          <w:jc w:val="center"/>
        </w:trPr>
        <w:tc>
          <w:tcPr>
            <w:cnfStyle w:val="001000000000"/>
            <w:tcW w:w="1825" w:type="dxa"/>
            <w:vAlign w:val="center"/>
          </w:tcPr>
          <w:p w:rsidR="00F70F48" w:rsidRPr="00C24C3F" w:rsidRDefault="00F70F48" w:rsidP="00C24C3F">
            <w:pPr>
              <w:spacing w:beforeLines="40" w:afterLines="40"/>
              <w:jc w:val="center"/>
              <w:rPr>
                <w:color w:val="auto"/>
              </w:rPr>
            </w:pPr>
            <w:proofErr w:type="spellStart"/>
            <w:r w:rsidRPr="00C24C3F">
              <w:rPr>
                <w:color w:val="auto"/>
              </w:rPr>
              <w:t>presion_ctd</w:t>
            </w:r>
            <w:proofErr w:type="spellEnd"/>
          </w:p>
        </w:tc>
        <w:tc>
          <w:tcPr>
            <w:tcW w:w="5654" w:type="dxa"/>
            <w:vAlign w:val="center"/>
          </w:tcPr>
          <w:p w:rsidR="00F70F48" w:rsidRPr="00C24C3F" w:rsidRDefault="00F70F48" w:rsidP="00C24C3F">
            <w:pPr>
              <w:spacing w:beforeLines="40" w:afterLines="40"/>
              <w:jc w:val="center"/>
              <w:cnfStyle w:val="000000100000"/>
              <w:rPr>
                <w:color w:val="auto"/>
              </w:rPr>
            </w:pPr>
            <w:r w:rsidRPr="00C24C3F">
              <w:rPr>
                <w:color w:val="auto"/>
              </w:rPr>
              <w:t>Presión registrada por el CTD en el momento de cierre de la botella</w:t>
            </w:r>
          </w:p>
        </w:tc>
        <w:tc>
          <w:tcPr>
            <w:tcW w:w="1165" w:type="dxa"/>
            <w:vAlign w:val="center"/>
          </w:tcPr>
          <w:p w:rsidR="00F70F48" w:rsidRPr="00C24C3F" w:rsidRDefault="00F70F48" w:rsidP="00C24C3F">
            <w:pPr>
              <w:spacing w:beforeLines="40" w:afterLines="40"/>
              <w:jc w:val="center"/>
              <w:cnfStyle w:val="000000100000"/>
              <w:rPr>
                <w:color w:val="auto"/>
              </w:rPr>
            </w:pPr>
            <w:proofErr w:type="spellStart"/>
            <w:r w:rsidRPr="00C24C3F">
              <w:rPr>
                <w:color w:val="auto"/>
              </w:rPr>
              <w:t>db</w:t>
            </w:r>
            <w:proofErr w:type="spellEnd"/>
          </w:p>
        </w:tc>
      </w:tr>
      <w:tr w:rsidR="00F70F48" w:rsidRPr="00C24C3F" w:rsidTr="00C24C3F">
        <w:trPr>
          <w:jc w:val="center"/>
        </w:trPr>
        <w:tc>
          <w:tcPr>
            <w:cnfStyle w:val="001000000000"/>
            <w:tcW w:w="1825" w:type="dxa"/>
            <w:vAlign w:val="center"/>
          </w:tcPr>
          <w:p w:rsidR="00F70F48" w:rsidRPr="00C24C3F" w:rsidRDefault="00F70F48" w:rsidP="00C24C3F">
            <w:pPr>
              <w:spacing w:beforeLines="40" w:afterLines="40"/>
              <w:jc w:val="center"/>
              <w:rPr>
                <w:color w:val="auto"/>
              </w:rPr>
            </w:pPr>
            <w:proofErr w:type="spellStart"/>
            <w:r w:rsidRPr="00C24C3F">
              <w:rPr>
                <w:color w:val="auto"/>
              </w:rPr>
              <w:t>temperatura_ctd</w:t>
            </w:r>
            <w:proofErr w:type="spellEnd"/>
          </w:p>
        </w:tc>
        <w:tc>
          <w:tcPr>
            <w:tcW w:w="5654" w:type="dxa"/>
            <w:vAlign w:val="center"/>
          </w:tcPr>
          <w:p w:rsidR="00F70F48" w:rsidRPr="00C24C3F" w:rsidRDefault="00F70F48" w:rsidP="00C24C3F">
            <w:pPr>
              <w:spacing w:beforeLines="40" w:afterLines="40"/>
              <w:jc w:val="center"/>
              <w:cnfStyle w:val="000000000000"/>
              <w:rPr>
                <w:color w:val="auto"/>
              </w:rPr>
            </w:pPr>
            <w:r w:rsidRPr="00C24C3F">
              <w:rPr>
                <w:color w:val="auto"/>
              </w:rPr>
              <w:t xml:space="preserve">Temperatura </w:t>
            </w:r>
            <w:r w:rsidRPr="00C24C3F">
              <w:rPr>
                <w:color w:val="auto"/>
              </w:rPr>
              <w:t>registrada por el CTD en el momento de cierre de la botella</w:t>
            </w:r>
          </w:p>
        </w:tc>
        <w:tc>
          <w:tcPr>
            <w:tcW w:w="1165" w:type="dxa"/>
            <w:vAlign w:val="center"/>
          </w:tcPr>
          <w:p w:rsidR="00F70F48" w:rsidRPr="00C24C3F" w:rsidRDefault="00F70F48" w:rsidP="00C24C3F">
            <w:pPr>
              <w:spacing w:beforeLines="40" w:afterLines="40"/>
              <w:jc w:val="center"/>
              <w:cnfStyle w:val="000000000000"/>
              <w:rPr>
                <w:color w:val="auto"/>
              </w:rPr>
            </w:pPr>
            <w:r w:rsidRPr="00C24C3F">
              <w:rPr>
                <w:color w:val="auto"/>
              </w:rPr>
              <w:t>°C</w:t>
            </w:r>
          </w:p>
        </w:tc>
      </w:tr>
      <w:tr w:rsidR="00F70F48" w:rsidRPr="00C24C3F" w:rsidTr="00C24C3F">
        <w:trPr>
          <w:cnfStyle w:val="000000100000"/>
          <w:jc w:val="center"/>
        </w:trPr>
        <w:tc>
          <w:tcPr>
            <w:cnfStyle w:val="001000000000"/>
            <w:tcW w:w="1825" w:type="dxa"/>
            <w:vAlign w:val="center"/>
          </w:tcPr>
          <w:p w:rsidR="00F70F48" w:rsidRPr="00C24C3F" w:rsidRDefault="00F70F48" w:rsidP="00C24C3F">
            <w:pPr>
              <w:spacing w:beforeLines="40" w:afterLines="40"/>
              <w:jc w:val="center"/>
              <w:rPr>
                <w:color w:val="auto"/>
              </w:rPr>
            </w:pPr>
            <w:proofErr w:type="spellStart"/>
            <w:r w:rsidRPr="00C24C3F">
              <w:rPr>
                <w:color w:val="auto"/>
              </w:rPr>
              <w:t>salinidad_ctd</w:t>
            </w:r>
            <w:proofErr w:type="spellEnd"/>
          </w:p>
        </w:tc>
        <w:tc>
          <w:tcPr>
            <w:tcW w:w="5654" w:type="dxa"/>
            <w:vAlign w:val="center"/>
          </w:tcPr>
          <w:p w:rsidR="00F70F48" w:rsidRPr="00C24C3F" w:rsidRDefault="00F70F48" w:rsidP="00C24C3F">
            <w:pPr>
              <w:spacing w:beforeLines="40" w:afterLines="40"/>
              <w:jc w:val="center"/>
              <w:cnfStyle w:val="000000100000"/>
              <w:rPr>
                <w:color w:val="auto"/>
              </w:rPr>
            </w:pPr>
            <w:r w:rsidRPr="00C24C3F">
              <w:rPr>
                <w:color w:val="auto"/>
              </w:rPr>
              <w:t>Salinidad práctica registrada por el CTD en el momento de cierre de la botella</w:t>
            </w:r>
          </w:p>
        </w:tc>
        <w:tc>
          <w:tcPr>
            <w:tcW w:w="1165" w:type="dxa"/>
            <w:vAlign w:val="center"/>
          </w:tcPr>
          <w:p w:rsidR="00F70F48" w:rsidRPr="00C24C3F" w:rsidRDefault="001260B2" w:rsidP="00C24C3F">
            <w:pPr>
              <w:spacing w:beforeLines="40" w:afterLines="40"/>
              <w:jc w:val="center"/>
              <w:cnfStyle w:val="000000100000"/>
              <w:rPr>
                <w:color w:val="auto"/>
              </w:rPr>
            </w:pPr>
            <w:proofErr w:type="spellStart"/>
            <w:r w:rsidRPr="00C24C3F">
              <w:rPr>
                <w:rFonts w:ascii="Calibri" w:hAnsi="Calibri" w:cs="Calibri"/>
                <w:color w:val="auto"/>
              </w:rPr>
              <w:t>p.s.u</w:t>
            </w:r>
            <w:proofErr w:type="spellEnd"/>
            <w:r w:rsidRPr="00C24C3F">
              <w:rPr>
                <w:rFonts w:ascii="Calibri" w:hAnsi="Calibri" w:cs="Calibri"/>
                <w:color w:val="auto"/>
              </w:rPr>
              <w:t xml:space="preserve"> (</w:t>
            </w:r>
            <w:r w:rsidR="00F70F48" w:rsidRPr="00C24C3F">
              <w:rPr>
                <w:rFonts w:ascii="Calibri" w:hAnsi="Calibri" w:cs="Calibri"/>
                <w:color w:val="auto"/>
              </w:rPr>
              <w:t>PSS78</w:t>
            </w:r>
            <w:r w:rsidRPr="00C24C3F">
              <w:rPr>
                <w:rFonts w:ascii="Calibri" w:hAnsi="Calibri" w:cs="Calibri"/>
                <w:color w:val="auto"/>
              </w:rPr>
              <w:t>)</w:t>
            </w:r>
          </w:p>
        </w:tc>
      </w:tr>
      <w:tr w:rsidR="00F70F48" w:rsidRPr="00C24C3F" w:rsidTr="00C24C3F">
        <w:trPr>
          <w:jc w:val="center"/>
        </w:trPr>
        <w:tc>
          <w:tcPr>
            <w:cnfStyle w:val="001000000000"/>
            <w:tcW w:w="1825" w:type="dxa"/>
            <w:vAlign w:val="center"/>
          </w:tcPr>
          <w:p w:rsidR="00F70F48" w:rsidRPr="00C24C3F" w:rsidRDefault="001260B2" w:rsidP="00C24C3F">
            <w:pPr>
              <w:spacing w:beforeLines="40" w:afterLines="40"/>
              <w:jc w:val="center"/>
              <w:rPr>
                <w:color w:val="auto"/>
              </w:rPr>
            </w:pPr>
            <w:proofErr w:type="spellStart"/>
            <w:r w:rsidRPr="00C24C3F">
              <w:rPr>
                <w:color w:val="auto"/>
              </w:rPr>
              <w:t>par_ctd</w:t>
            </w:r>
            <w:proofErr w:type="spellEnd"/>
          </w:p>
        </w:tc>
        <w:tc>
          <w:tcPr>
            <w:tcW w:w="5654" w:type="dxa"/>
            <w:vAlign w:val="center"/>
          </w:tcPr>
          <w:p w:rsidR="00F70F48" w:rsidRPr="00C24C3F" w:rsidRDefault="001260B2" w:rsidP="00C24C3F">
            <w:pPr>
              <w:spacing w:beforeLines="40" w:afterLines="40"/>
              <w:jc w:val="center"/>
              <w:cnfStyle w:val="000000000000"/>
              <w:rPr>
                <w:color w:val="auto"/>
              </w:rPr>
            </w:pPr>
            <w:r w:rsidRPr="00C24C3F">
              <w:rPr>
                <w:color w:val="auto"/>
              </w:rPr>
              <w:t>Radiación activa fotosintética (PAR) registrada por el sensor acoplado al CTD o roseta en el momento de cierre de la botella</w:t>
            </w:r>
          </w:p>
        </w:tc>
        <w:tc>
          <w:tcPr>
            <w:tcW w:w="1165" w:type="dxa"/>
            <w:vAlign w:val="center"/>
          </w:tcPr>
          <w:p w:rsidR="00F70F48" w:rsidRPr="00C24C3F" w:rsidRDefault="001260B2" w:rsidP="00C24C3F">
            <w:pPr>
              <w:spacing w:beforeLines="40" w:afterLines="40"/>
              <w:jc w:val="center"/>
              <w:cnfStyle w:val="000000000000"/>
              <w:rPr>
                <w:rFonts w:ascii="Calibri" w:hAnsi="Calibri" w:cs="Calibri"/>
                <w:color w:val="auto"/>
              </w:rPr>
            </w:pPr>
            <w:r w:rsidRPr="00C24C3F">
              <w:rPr>
                <w:rFonts w:ascii="Calibri" w:hAnsi="Calibri" w:cs="Calibri"/>
                <w:color w:val="auto"/>
              </w:rPr>
              <w:t>µE/m</w:t>
            </w:r>
            <w:r w:rsidRPr="00C24C3F">
              <w:rPr>
                <w:rFonts w:ascii="Calibri" w:hAnsi="Calibri" w:cs="Calibri"/>
                <w:color w:val="auto"/>
                <w:vertAlign w:val="superscript"/>
              </w:rPr>
              <w:t>2</w:t>
            </w:r>
            <w:r w:rsidRPr="00C24C3F">
              <w:rPr>
                <w:rFonts w:ascii="Calibri" w:hAnsi="Calibri" w:cs="Calibri"/>
                <w:color w:val="auto"/>
              </w:rPr>
              <w:t>s</w:t>
            </w:r>
          </w:p>
        </w:tc>
      </w:tr>
      <w:tr w:rsidR="00F70F48" w:rsidRPr="00C24C3F" w:rsidTr="00C24C3F">
        <w:trPr>
          <w:cnfStyle w:val="000000100000"/>
          <w:jc w:val="center"/>
        </w:trPr>
        <w:tc>
          <w:tcPr>
            <w:cnfStyle w:val="001000000000"/>
            <w:tcW w:w="1825" w:type="dxa"/>
            <w:vAlign w:val="center"/>
          </w:tcPr>
          <w:p w:rsidR="00F70F48" w:rsidRPr="00C24C3F" w:rsidRDefault="001260B2" w:rsidP="00C24C3F">
            <w:pPr>
              <w:spacing w:beforeLines="40" w:afterLines="40"/>
              <w:jc w:val="center"/>
              <w:rPr>
                <w:color w:val="auto"/>
              </w:rPr>
            </w:pPr>
            <w:proofErr w:type="spellStart"/>
            <w:r w:rsidRPr="00C24C3F">
              <w:rPr>
                <w:color w:val="auto"/>
              </w:rPr>
              <w:t>turbidez_ctd</w:t>
            </w:r>
            <w:proofErr w:type="spellEnd"/>
          </w:p>
        </w:tc>
        <w:tc>
          <w:tcPr>
            <w:tcW w:w="5654" w:type="dxa"/>
            <w:vAlign w:val="center"/>
          </w:tcPr>
          <w:p w:rsidR="00F70F48" w:rsidRPr="00C24C3F" w:rsidRDefault="001260B2" w:rsidP="00C24C3F">
            <w:pPr>
              <w:spacing w:beforeLines="40" w:afterLines="40"/>
              <w:jc w:val="center"/>
              <w:cnfStyle w:val="000000100000"/>
              <w:rPr>
                <w:color w:val="auto"/>
              </w:rPr>
            </w:pPr>
            <w:r w:rsidRPr="00C24C3F">
              <w:rPr>
                <w:color w:val="auto"/>
              </w:rPr>
              <w:t xml:space="preserve">Turbidez registrada por el </w:t>
            </w:r>
            <w:proofErr w:type="spellStart"/>
            <w:r w:rsidRPr="00C24C3F">
              <w:rPr>
                <w:color w:val="auto"/>
              </w:rPr>
              <w:t>turbidímetro</w:t>
            </w:r>
            <w:proofErr w:type="spellEnd"/>
            <w:r w:rsidRPr="00C24C3F">
              <w:rPr>
                <w:color w:val="auto"/>
              </w:rPr>
              <w:t xml:space="preserve"> acoplado al CTD o roseta en el momento del cierre de la botella</w:t>
            </w:r>
          </w:p>
        </w:tc>
        <w:tc>
          <w:tcPr>
            <w:tcW w:w="1165" w:type="dxa"/>
            <w:vAlign w:val="center"/>
          </w:tcPr>
          <w:p w:rsidR="00F70F48" w:rsidRPr="00C24C3F" w:rsidRDefault="001260B2" w:rsidP="00C24C3F">
            <w:pPr>
              <w:spacing w:beforeLines="40" w:afterLines="40"/>
              <w:jc w:val="center"/>
              <w:cnfStyle w:val="000000100000"/>
              <w:rPr>
                <w:color w:val="auto"/>
              </w:rPr>
            </w:pPr>
            <w:r w:rsidRPr="00C24C3F">
              <w:rPr>
                <w:rFonts w:ascii="Calibri" w:hAnsi="Calibri" w:cs="Calibri"/>
                <w:color w:val="auto"/>
              </w:rPr>
              <w:t>NTU</w:t>
            </w:r>
          </w:p>
        </w:tc>
      </w:tr>
      <w:tr w:rsidR="00F70F48" w:rsidRPr="00C24C3F" w:rsidTr="00C24C3F">
        <w:trPr>
          <w:jc w:val="center"/>
        </w:trPr>
        <w:tc>
          <w:tcPr>
            <w:cnfStyle w:val="001000000000"/>
            <w:tcW w:w="1825" w:type="dxa"/>
            <w:vAlign w:val="center"/>
          </w:tcPr>
          <w:p w:rsidR="00F70F48" w:rsidRPr="00C24C3F" w:rsidRDefault="001260B2" w:rsidP="00C24C3F">
            <w:pPr>
              <w:spacing w:beforeLines="40" w:afterLines="40"/>
              <w:jc w:val="center"/>
              <w:rPr>
                <w:color w:val="auto"/>
              </w:rPr>
            </w:pPr>
            <w:proofErr w:type="spellStart"/>
            <w:r w:rsidRPr="00C24C3F">
              <w:rPr>
                <w:color w:val="auto"/>
              </w:rPr>
              <w:t>fluorescencia_ctd</w:t>
            </w:r>
            <w:proofErr w:type="spellEnd"/>
          </w:p>
        </w:tc>
        <w:tc>
          <w:tcPr>
            <w:tcW w:w="5654" w:type="dxa"/>
            <w:vAlign w:val="center"/>
          </w:tcPr>
          <w:p w:rsidR="00F70F48" w:rsidRPr="00C24C3F" w:rsidRDefault="001260B2" w:rsidP="00C24C3F">
            <w:pPr>
              <w:spacing w:beforeLines="40" w:afterLines="40"/>
              <w:jc w:val="center"/>
              <w:cnfStyle w:val="000000000000"/>
              <w:rPr>
                <w:color w:val="auto"/>
              </w:rPr>
            </w:pPr>
            <w:r w:rsidRPr="00C24C3F">
              <w:rPr>
                <w:color w:val="auto"/>
              </w:rPr>
              <w:t>Fluorescencia registrada por el sensor acoplado al CTD o roseta en el momento de cierre de la botella</w:t>
            </w:r>
          </w:p>
        </w:tc>
        <w:tc>
          <w:tcPr>
            <w:tcW w:w="1165" w:type="dxa"/>
            <w:vAlign w:val="center"/>
          </w:tcPr>
          <w:p w:rsidR="00F70F48" w:rsidRPr="00C24C3F" w:rsidRDefault="001260B2" w:rsidP="00C24C3F">
            <w:pPr>
              <w:spacing w:beforeLines="40" w:afterLines="40"/>
              <w:jc w:val="center"/>
              <w:cnfStyle w:val="000000000000"/>
              <w:rPr>
                <w:color w:val="auto"/>
              </w:rPr>
            </w:pPr>
            <w:r w:rsidRPr="00C24C3F">
              <w:rPr>
                <w:rFonts w:cstheme="minorHAnsi"/>
                <w:color w:val="auto"/>
              </w:rPr>
              <w:t>µ</w:t>
            </w:r>
            <w:r w:rsidRPr="00C24C3F">
              <w:rPr>
                <w:color w:val="auto"/>
              </w:rPr>
              <w:t>g/L</w:t>
            </w:r>
          </w:p>
        </w:tc>
      </w:tr>
      <w:tr w:rsidR="00F70F48" w:rsidRPr="00C24C3F" w:rsidTr="00C24C3F">
        <w:trPr>
          <w:cnfStyle w:val="000000100000"/>
          <w:jc w:val="center"/>
        </w:trPr>
        <w:tc>
          <w:tcPr>
            <w:cnfStyle w:val="001000000000"/>
            <w:tcW w:w="1825" w:type="dxa"/>
            <w:vAlign w:val="center"/>
          </w:tcPr>
          <w:p w:rsidR="00F70F48" w:rsidRPr="00C24C3F" w:rsidRDefault="001260B2" w:rsidP="00C24C3F">
            <w:pPr>
              <w:spacing w:beforeLines="40" w:afterLines="40"/>
              <w:jc w:val="center"/>
              <w:rPr>
                <w:color w:val="auto"/>
              </w:rPr>
            </w:pPr>
            <w:proofErr w:type="spellStart"/>
            <w:r w:rsidRPr="00C24C3F">
              <w:rPr>
                <w:color w:val="auto"/>
              </w:rPr>
              <w:t>oxigeno_ctd</w:t>
            </w:r>
            <w:proofErr w:type="spellEnd"/>
          </w:p>
        </w:tc>
        <w:tc>
          <w:tcPr>
            <w:tcW w:w="5654" w:type="dxa"/>
            <w:vAlign w:val="center"/>
          </w:tcPr>
          <w:p w:rsidR="00F70F48" w:rsidRPr="00C24C3F" w:rsidRDefault="001260B2" w:rsidP="00C24C3F">
            <w:pPr>
              <w:spacing w:beforeLines="40" w:afterLines="40"/>
              <w:jc w:val="center"/>
              <w:cnfStyle w:val="000000100000"/>
              <w:rPr>
                <w:color w:val="auto"/>
              </w:rPr>
            </w:pPr>
            <w:r w:rsidRPr="00C24C3F">
              <w:rPr>
                <w:color w:val="auto"/>
              </w:rPr>
              <w:t>Concentración de oxígeno registrado por el sensor acoplado al CTD o roseta en el momento de cierre de la botella</w:t>
            </w:r>
          </w:p>
        </w:tc>
        <w:tc>
          <w:tcPr>
            <w:tcW w:w="1165" w:type="dxa"/>
            <w:vAlign w:val="center"/>
          </w:tcPr>
          <w:p w:rsidR="00F70F48" w:rsidRPr="00C24C3F" w:rsidRDefault="001260B2" w:rsidP="00C24C3F">
            <w:pPr>
              <w:spacing w:beforeLines="40" w:afterLines="40"/>
              <w:jc w:val="center"/>
              <w:cnfStyle w:val="000000100000"/>
              <w:rPr>
                <w:color w:val="auto"/>
              </w:rPr>
            </w:pPr>
            <w:r w:rsidRPr="00C24C3F">
              <w:rPr>
                <w:rFonts w:cstheme="minorHAnsi"/>
                <w:color w:val="auto"/>
              </w:rPr>
              <w:t>µ</w:t>
            </w:r>
            <w:r w:rsidR="00772569" w:rsidRPr="00C24C3F">
              <w:rPr>
                <w:rFonts w:ascii="Calibri" w:hAnsi="Calibri" w:cs="Calibri"/>
                <w:color w:val="auto"/>
              </w:rPr>
              <w:t>MOL/Kg</w:t>
            </w:r>
          </w:p>
        </w:tc>
      </w:tr>
      <w:tr w:rsidR="001260B2" w:rsidRPr="00C24C3F" w:rsidTr="00C24C3F">
        <w:trPr>
          <w:jc w:val="center"/>
        </w:trPr>
        <w:tc>
          <w:tcPr>
            <w:cnfStyle w:val="001000000000"/>
            <w:tcW w:w="1825" w:type="dxa"/>
            <w:vAlign w:val="center"/>
          </w:tcPr>
          <w:p w:rsidR="001260B2" w:rsidRPr="00C24C3F" w:rsidRDefault="001260B2" w:rsidP="00C24C3F">
            <w:pPr>
              <w:spacing w:beforeLines="40" w:afterLines="40"/>
              <w:jc w:val="center"/>
              <w:rPr>
                <w:color w:val="auto"/>
              </w:rPr>
            </w:pPr>
            <w:proofErr w:type="spellStart"/>
            <w:r w:rsidRPr="00C24C3F">
              <w:rPr>
                <w:color w:val="auto"/>
              </w:rPr>
              <w:t>oxigeno_</w:t>
            </w:r>
            <w:r w:rsidRPr="00C24C3F">
              <w:rPr>
                <w:color w:val="auto"/>
              </w:rPr>
              <w:t>wk</w:t>
            </w:r>
            <w:proofErr w:type="spellEnd"/>
          </w:p>
        </w:tc>
        <w:tc>
          <w:tcPr>
            <w:tcW w:w="5654" w:type="dxa"/>
            <w:vAlign w:val="center"/>
          </w:tcPr>
          <w:p w:rsidR="001260B2" w:rsidRPr="00C24C3F" w:rsidRDefault="001260B2" w:rsidP="00B01A22">
            <w:pPr>
              <w:spacing w:beforeLines="40" w:afterLines="40"/>
              <w:jc w:val="center"/>
              <w:cnfStyle w:val="000000000000"/>
              <w:rPr>
                <w:color w:val="auto"/>
              </w:rPr>
            </w:pPr>
            <w:r w:rsidRPr="00C24C3F">
              <w:rPr>
                <w:color w:val="auto"/>
              </w:rPr>
              <w:t>Concentración de o</w:t>
            </w:r>
            <w:r w:rsidRPr="00C24C3F">
              <w:rPr>
                <w:color w:val="auto"/>
              </w:rPr>
              <w:t xml:space="preserve">xígeno </w:t>
            </w:r>
            <w:r w:rsidRPr="00C24C3F">
              <w:rPr>
                <w:color w:val="auto"/>
              </w:rPr>
              <w:t xml:space="preserve">determinado por el método </w:t>
            </w:r>
            <w:proofErr w:type="spellStart"/>
            <w:r w:rsidRPr="00C24C3F">
              <w:rPr>
                <w:color w:val="auto"/>
              </w:rPr>
              <w:t>Winkler</w:t>
            </w:r>
            <w:proofErr w:type="spellEnd"/>
            <w:r w:rsidRPr="00C24C3F">
              <w:rPr>
                <w:color w:val="auto"/>
              </w:rPr>
              <w:t xml:space="preserve"> (ver </w:t>
            </w:r>
            <w:r w:rsidR="00B01A22">
              <w:rPr>
                <w:color w:val="auto"/>
              </w:rPr>
              <w:t xml:space="preserve">sección </w:t>
            </w:r>
            <w:r w:rsidR="00B01A22">
              <w:rPr>
                <w:color w:val="auto"/>
              </w:rPr>
              <w:fldChar w:fldCharType="begin"/>
            </w:r>
            <w:r w:rsidR="00B01A22">
              <w:rPr>
                <w:color w:val="auto"/>
              </w:rPr>
              <w:instrText xml:space="preserve"> REF _Ref120704675 \r \h </w:instrText>
            </w:r>
            <w:r w:rsidR="00B01A22">
              <w:rPr>
                <w:color w:val="auto"/>
              </w:rPr>
            </w:r>
            <w:r w:rsidR="00B01A22">
              <w:rPr>
                <w:color w:val="auto"/>
              </w:rPr>
              <w:fldChar w:fldCharType="separate"/>
            </w:r>
            <w:r w:rsidR="00B01A22">
              <w:rPr>
                <w:color w:val="auto"/>
              </w:rPr>
              <w:t>2.1</w:t>
            </w:r>
            <w:r w:rsidR="00B01A22">
              <w:rPr>
                <w:color w:val="auto"/>
              </w:rPr>
              <w:fldChar w:fldCharType="end"/>
            </w:r>
            <w:r w:rsidRPr="00C24C3F">
              <w:rPr>
                <w:color w:val="auto"/>
              </w:rPr>
              <w:t>)</w:t>
            </w:r>
          </w:p>
        </w:tc>
        <w:tc>
          <w:tcPr>
            <w:tcW w:w="1165" w:type="dxa"/>
            <w:vAlign w:val="center"/>
          </w:tcPr>
          <w:p w:rsidR="001260B2" w:rsidRPr="00C24C3F" w:rsidRDefault="001260B2" w:rsidP="00C24C3F">
            <w:pPr>
              <w:spacing w:beforeLines="40" w:afterLines="40"/>
              <w:jc w:val="center"/>
              <w:cnfStyle w:val="000000000000"/>
              <w:rPr>
                <w:color w:val="auto"/>
              </w:rPr>
            </w:pPr>
            <w:r w:rsidRPr="00C24C3F">
              <w:rPr>
                <w:rFonts w:cstheme="minorHAnsi"/>
                <w:color w:val="auto"/>
              </w:rPr>
              <w:t>µ</w:t>
            </w:r>
            <w:r w:rsidR="00772569" w:rsidRPr="00C24C3F">
              <w:rPr>
                <w:rFonts w:ascii="Calibri" w:hAnsi="Calibri" w:cs="Calibri"/>
                <w:color w:val="auto"/>
              </w:rPr>
              <w:t>MOL/Kg</w:t>
            </w:r>
          </w:p>
        </w:tc>
      </w:tr>
      <w:tr w:rsidR="001260B2" w:rsidRPr="00C24C3F" w:rsidTr="00C24C3F">
        <w:trPr>
          <w:cnfStyle w:val="000000100000"/>
          <w:jc w:val="center"/>
        </w:trPr>
        <w:tc>
          <w:tcPr>
            <w:cnfStyle w:val="001000000000"/>
            <w:tcW w:w="1825" w:type="dxa"/>
            <w:vAlign w:val="center"/>
          </w:tcPr>
          <w:p w:rsidR="001260B2" w:rsidRPr="00C24C3F" w:rsidRDefault="001260B2" w:rsidP="00C24C3F">
            <w:pPr>
              <w:spacing w:beforeLines="40" w:afterLines="40"/>
              <w:jc w:val="center"/>
              <w:rPr>
                <w:color w:val="auto"/>
              </w:rPr>
            </w:pPr>
            <w:proofErr w:type="spellStart"/>
            <w:r w:rsidRPr="00C24C3F">
              <w:rPr>
                <w:color w:val="auto"/>
              </w:rPr>
              <w:t>nitrogeno_total</w:t>
            </w:r>
            <w:proofErr w:type="spellEnd"/>
          </w:p>
        </w:tc>
        <w:tc>
          <w:tcPr>
            <w:tcW w:w="5654" w:type="dxa"/>
            <w:vAlign w:val="center"/>
          </w:tcPr>
          <w:p w:rsidR="001260B2" w:rsidRPr="00C24C3F" w:rsidRDefault="001260B2" w:rsidP="00C24C3F">
            <w:pPr>
              <w:spacing w:beforeLines="40" w:afterLines="40"/>
              <w:jc w:val="center"/>
              <w:cnfStyle w:val="000000100000"/>
              <w:rPr>
                <w:color w:val="auto"/>
              </w:rPr>
            </w:pPr>
            <w:r w:rsidRPr="00C24C3F">
              <w:rPr>
                <w:color w:val="auto"/>
              </w:rPr>
              <w:t>Concentración de nitrógeno total</w:t>
            </w:r>
          </w:p>
        </w:tc>
        <w:tc>
          <w:tcPr>
            <w:tcW w:w="1165" w:type="dxa"/>
            <w:vAlign w:val="center"/>
          </w:tcPr>
          <w:p w:rsidR="001260B2" w:rsidRPr="00C24C3F" w:rsidRDefault="001260B2" w:rsidP="00C24C3F">
            <w:pPr>
              <w:spacing w:beforeLines="40" w:afterLines="40"/>
              <w:jc w:val="center"/>
              <w:cnfStyle w:val="000000100000"/>
              <w:rPr>
                <w:color w:val="auto"/>
              </w:rPr>
            </w:pPr>
            <w:r w:rsidRPr="00C24C3F">
              <w:rPr>
                <w:rFonts w:cstheme="minorHAnsi"/>
                <w:color w:val="auto"/>
              </w:rPr>
              <w:t>µ</w:t>
            </w:r>
            <w:r w:rsidR="00772569" w:rsidRPr="00C24C3F">
              <w:rPr>
                <w:rFonts w:ascii="Calibri" w:hAnsi="Calibri" w:cs="Calibri"/>
                <w:color w:val="auto"/>
              </w:rPr>
              <w:t>MOL/Kg</w:t>
            </w:r>
          </w:p>
        </w:tc>
      </w:tr>
      <w:tr w:rsidR="001260B2" w:rsidRPr="00C24C3F" w:rsidTr="00C24C3F">
        <w:trPr>
          <w:jc w:val="center"/>
        </w:trPr>
        <w:tc>
          <w:tcPr>
            <w:cnfStyle w:val="001000000000"/>
            <w:tcW w:w="1825" w:type="dxa"/>
            <w:vAlign w:val="center"/>
          </w:tcPr>
          <w:p w:rsidR="001260B2" w:rsidRPr="00C24C3F" w:rsidRDefault="001260B2" w:rsidP="00C24C3F">
            <w:pPr>
              <w:spacing w:beforeLines="40" w:afterLines="40"/>
              <w:jc w:val="center"/>
              <w:rPr>
                <w:color w:val="auto"/>
              </w:rPr>
            </w:pPr>
            <w:r w:rsidRPr="00C24C3F">
              <w:rPr>
                <w:color w:val="auto"/>
              </w:rPr>
              <w:t>nitrato</w:t>
            </w:r>
          </w:p>
        </w:tc>
        <w:tc>
          <w:tcPr>
            <w:tcW w:w="5654" w:type="dxa"/>
            <w:vAlign w:val="center"/>
          </w:tcPr>
          <w:p w:rsidR="001260B2" w:rsidRPr="00C24C3F" w:rsidRDefault="001260B2" w:rsidP="00C24C3F">
            <w:pPr>
              <w:spacing w:beforeLines="40" w:afterLines="40"/>
              <w:jc w:val="center"/>
              <w:cnfStyle w:val="000000000000"/>
              <w:rPr>
                <w:color w:val="auto"/>
              </w:rPr>
            </w:pPr>
            <w:r w:rsidRPr="00C24C3F">
              <w:rPr>
                <w:color w:val="auto"/>
              </w:rPr>
              <w:t>Concentración de nitrato</w:t>
            </w:r>
          </w:p>
        </w:tc>
        <w:tc>
          <w:tcPr>
            <w:tcW w:w="1165" w:type="dxa"/>
            <w:vAlign w:val="center"/>
          </w:tcPr>
          <w:p w:rsidR="001260B2" w:rsidRPr="00C24C3F" w:rsidRDefault="001260B2" w:rsidP="00C24C3F">
            <w:pPr>
              <w:spacing w:beforeLines="40" w:afterLines="40"/>
              <w:jc w:val="center"/>
              <w:cnfStyle w:val="000000000000"/>
              <w:rPr>
                <w:color w:val="auto"/>
              </w:rPr>
            </w:pPr>
            <w:r w:rsidRPr="00C24C3F">
              <w:rPr>
                <w:rFonts w:cstheme="minorHAnsi"/>
                <w:color w:val="auto"/>
              </w:rPr>
              <w:t>µ</w:t>
            </w:r>
            <w:r w:rsidR="00772569" w:rsidRPr="00C24C3F">
              <w:rPr>
                <w:rFonts w:ascii="Calibri" w:hAnsi="Calibri" w:cs="Calibri"/>
                <w:color w:val="auto"/>
              </w:rPr>
              <w:t>MOL/Kg</w:t>
            </w:r>
          </w:p>
        </w:tc>
      </w:tr>
      <w:tr w:rsidR="001260B2" w:rsidRPr="00C24C3F" w:rsidTr="00C24C3F">
        <w:trPr>
          <w:cnfStyle w:val="000000100000"/>
          <w:jc w:val="center"/>
        </w:trPr>
        <w:tc>
          <w:tcPr>
            <w:cnfStyle w:val="001000000000"/>
            <w:tcW w:w="1825" w:type="dxa"/>
            <w:vAlign w:val="center"/>
          </w:tcPr>
          <w:p w:rsidR="001260B2" w:rsidRPr="00C24C3F" w:rsidRDefault="001260B2" w:rsidP="00C24C3F">
            <w:pPr>
              <w:spacing w:beforeLines="40" w:afterLines="40"/>
              <w:jc w:val="center"/>
              <w:rPr>
                <w:color w:val="auto"/>
              </w:rPr>
            </w:pPr>
            <w:r w:rsidRPr="00C24C3F">
              <w:rPr>
                <w:color w:val="auto"/>
              </w:rPr>
              <w:t>nitrito</w:t>
            </w:r>
          </w:p>
        </w:tc>
        <w:tc>
          <w:tcPr>
            <w:tcW w:w="5654" w:type="dxa"/>
            <w:vAlign w:val="center"/>
          </w:tcPr>
          <w:p w:rsidR="001260B2" w:rsidRPr="00C24C3F" w:rsidRDefault="001260B2" w:rsidP="00C24C3F">
            <w:pPr>
              <w:spacing w:beforeLines="40" w:afterLines="40"/>
              <w:jc w:val="center"/>
              <w:cnfStyle w:val="000000100000"/>
              <w:rPr>
                <w:color w:val="auto"/>
              </w:rPr>
            </w:pPr>
            <w:r w:rsidRPr="00C24C3F">
              <w:rPr>
                <w:color w:val="auto"/>
              </w:rPr>
              <w:t xml:space="preserve">Concentración de </w:t>
            </w:r>
            <w:r w:rsidRPr="00C24C3F">
              <w:rPr>
                <w:color w:val="auto"/>
              </w:rPr>
              <w:t>nitrito</w:t>
            </w:r>
          </w:p>
        </w:tc>
        <w:tc>
          <w:tcPr>
            <w:tcW w:w="1165" w:type="dxa"/>
            <w:vAlign w:val="center"/>
          </w:tcPr>
          <w:p w:rsidR="001260B2" w:rsidRPr="00C24C3F" w:rsidRDefault="001260B2" w:rsidP="00C24C3F">
            <w:pPr>
              <w:spacing w:beforeLines="40" w:afterLines="40"/>
              <w:jc w:val="center"/>
              <w:cnfStyle w:val="000000100000"/>
              <w:rPr>
                <w:color w:val="auto"/>
              </w:rPr>
            </w:pPr>
            <w:r w:rsidRPr="00C24C3F">
              <w:rPr>
                <w:rFonts w:cstheme="minorHAnsi"/>
                <w:color w:val="auto"/>
              </w:rPr>
              <w:t>µ</w:t>
            </w:r>
            <w:r w:rsidR="00772569" w:rsidRPr="00C24C3F">
              <w:rPr>
                <w:rFonts w:ascii="Calibri" w:hAnsi="Calibri" w:cs="Calibri"/>
                <w:color w:val="auto"/>
              </w:rPr>
              <w:t>MOL/Kg</w:t>
            </w:r>
          </w:p>
        </w:tc>
      </w:tr>
      <w:tr w:rsidR="001260B2" w:rsidRPr="00C24C3F" w:rsidTr="00C24C3F">
        <w:trPr>
          <w:jc w:val="center"/>
        </w:trPr>
        <w:tc>
          <w:tcPr>
            <w:cnfStyle w:val="001000000000"/>
            <w:tcW w:w="1825" w:type="dxa"/>
            <w:vAlign w:val="center"/>
          </w:tcPr>
          <w:p w:rsidR="001260B2" w:rsidRPr="00C24C3F" w:rsidRDefault="001260B2" w:rsidP="00C24C3F">
            <w:pPr>
              <w:spacing w:beforeLines="40" w:afterLines="40"/>
              <w:jc w:val="center"/>
              <w:rPr>
                <w:color w:val="auto"/>
              </w:rPr>
            </w:pPr>
            <w:r w:rsidRPr="00C24C3F">
              <w:rPr>
                <w:color w:val="auto"/>
              </w:rPr>
              <w:t>amonio</w:t>
            </w:r>
          </w:p>
        </w:tc>
        <w:tc>
          <w:tcPr>
            <w:tcW w:w="5654" w:type="dxa"/>
            <w:vAlign w:val="center"/>
          </w:tcPr>
          <w:p w:rsidR="001260B2" w:rsidRPr="00C24C3F" w:rsidRDefault="001260B2" w:rsidP="00C24C3F">
            <w:pPr>
              <w:spacing w:beforeLines="40" w:afterLines="40"/>
              <w:jc w:val="center"/>
              <w:cnfStyle w:val="000000000000"/>
              <w:rPr>
                <w:color w:val="auto"/>
              </w:rPr>
            </w:pPr>
            <w:r w:rsidRPr="00C24C3F">
              <w:rPr>
                <w:color w:val="auto"/>
              </w:rPr>
              <w:t xml:space="preserve">Concentración de </w:t>
            </w:r>
            <w:r w:rsidRPr="00C24C3F">
              <w:rPr>
                <w:color w:val="auto"/>
              </w:rPr>
              <w:t>amonio</w:t>
            </w:r>
          </w:p>
        </w:tc>
        <w:tc>
          <w:tcPr>
            <w:tcW w:w="1165" w:type="dxa"/>
            <w:vAlign w:val="center"/>
          </w:tcPr>
          <w:p w:rsidR="001260B2" w:rsidRPr="00C24C3F" w:rsidRDefault="001260B2" w:rsidP="00C24C3F">
            <w:pPr>
              <w:spacing w:beforeLines="40" w:afterLines="40"/>
              <w:jc w:val="center"/>
              <w:cnfStyle w:val="000000000000"/>
              <w:rPr>
                <w:color w:val="auto"/>
              </w:rPr>
            </w:pPr>
            <w:r w:rsidRPr="00C24C3F">
              <w:rPr>
                <w:rFonts w:cstheme="minorHAnsi"/>
                <w:color w:val="auto"/>
              </w:rPr>
              <w:t>µ</w:t>
            </w:r>
            <w:r w:rsidR="00772569" w:rsidRPr="00C24C3F">
              <w:rPr>
                <w:rFonts w:ascii="Calibri" w:hAnsi="Calibri" w:cs="Calibri"/>
                <w:color w:val="auto"/>
              </w:rPr>
              <w:t>MOL/Kg</w:t>
            </w:r>
          </w:p>
        </w:tc>
      </w:tr>
      <w:tr w:rsidR="001260B2" w:rsidRPr="00C24C3F" w:rsidTr="00C24C3F">
        <w:trPr>
          <w:cnfStyle w:val="000000100000"/>
          <w:jc w:val="center"/>
        </w:trPr>
        <w:tc>
          <w:tcPr>
            <w:cnfStyle w:val="001000000000"/>
            <w:tcW w:w="1825" w:type="dxa"/>
            <w:vAlign w:val="center"/>
          </w:tcPr>
          <w:p w:rsidR="001260B2" w:rsidRPr="00C24C3F" w:rsidRDefault="001260B2" w:rsidP="00C24C3F">
            <w:pPr>
              <w:spacing w:beforeLines="40" w:afterLines="40"/>
              <w:jc w:val="center"/>
              <w:rPr>
                <w:color w:val="auto"/>
              </w:rPr>
            </w:pPr>
            <w:r w:rsidRPr="00C24C3F">
              <w:rPr>
                <w:color w:val="auto"/>
              </w:rPr>
              <w:t>fosfato</w:t>
            </w:r>
          </w:p>
        </w:tc>
        <w:tc>
          <w:tcPr>
            <w:tcW w:w="5654" w:type="dxa"/>
            <w:vAlign w:val="center"/>
          </w:tcPr>
          <w:p w:rsidR="001260B2" w:rsidRPr="00C24C3F" w:rsidRDefault="001260B2" w:rsidP="00C24C3F">
            <w:pPr>
              <w:spacing w:beforeLines="40" w:afterLines="40"/>
              <w:jc w:val="center"/>
              <w:cnfStyle w:val="000000100000"/>
              <w:rPr>
                <w:color w:val="auto"/>
              </w:rPr>
            </w:pPr>
            <w:r w:rsidRPr="00C24C3F">
              <w:rPr>
                <w:color w:val="auto"/>
              </w:rPr>
              <w:t xml:space="preserve">Concentración de </w:t>
            </w:r>
            <w:r w:rsidRPr="00C24C3F">
              <w:rPr>
                <w:color w:val="auto"/>
              </w:rPr>
              <w:t>fosfato</w:t>
            </w:r>
          </w:p>
        </w:tc>
        <w:tc>
          <w:tcPr>
            <w:tcW w:w="1165" w:type="dxa"/>
            <w:vAlign w:val="center"/>
          </w:tcPr>
          <w:p w:rsidR="001260B2" w:rsidRPr="00C24C3F" w:rsidRDefault="001260B2" w:rsidP="00C24C3F">
            <w:pPr>
              <w:spacing w:beforeLines="40" w:afterLines="40"/>
              <w:jc w:val="center"/>
              <w:cnfStyle w:val="000000100000"/>
              <w:rPr>
                <w:color w:val="auto"/>
              </w:rPr>
            </w:pPr>
            <w:r w:rsidRPr="00C24C3F">
              <w:rPr>
                <w:rFonts w:cstheme="minorHAnsi"/>
                <w:color w:val="auto"/>
              </w:rPr>
              <w:t>µ</w:t>
            </w:r>
            <w:r w:rsidR="00772569" w:rsidRPr="00C24C3F">
              <w:rPr>
                <w:rFonts w:ascii="Calibri" w:hAnsi="Calibri" w:cs="Calibri"/>
                <w:color w:val="auto"/>
              </w:rPr>
              <w:t>MOL/Kg</w:t>
            </w:r>
          </w:p>
        </w:tc>
      </w:tr>
      <w:tr w:rsidR="001260B2" w:rsidRPr="00C24C3F" w:rsidTr="00C24C3F">
        <w:trPr>
          <w:jc w:val="center"/>
        </w:trPr>
        <w:tc>
          <w:tcPr>
            <w:cnfStyle w:val="001000000000"/>
            <w:tcW w:w="1825" w:type="dxa"/>
            <w:vAlign w:val="center"/>
          </w:tcPr>
          <w:p w:rsidR="001260B2" w:rsidRPr="00C24C3F" w:rsidRDefault="001260B2" w:rsidP="00C24C3F">
            <w:pPr>
              <w:spacing w:beforeLines="40" w:afterLines="40"/>
              <w:jc w:val="center"/>
              <w:rPr>
                <w:color w:val="auto"/>
              </w:rPr>
            </w:pPr>
            <w:r w:rsidRPr="00C24C3F">
              <w:rPr>
                <w:color w:val="auto"/>
              </w:rPr>
              <w:t>silicato</w:t>
            </w:r>
          </w:p>
        </w:tc>
        <w:tc>
          <w:tcPr>
            <w:tcW w:w="5654" w:type="dxa"/>
            <w:vAlign w:val="center"/>
          </w:tcPr>
          <w:p w:rsidR="001260B2" w:rsidRPr="00C24C3F" w:rsidRDefault="001260B2" w:rsidP="00C24C3F">
            <w:pPr>
              <w:spacing w:beforeLines="40" w:afterLines="40"/>
              <w:jc w:val="center"/>
              <w:cnfStyle w:val="000000000000"/>
              <w:rPr>
                <w:color w:val="auto"/>
              </w:rPr>
            </w:pPr>
            <w:r w:rsidRPr="00C24C3F">
              <w:rPr>
                <w:color w:val="auto"/>
              </w:rPr>
              <w:t xml:space="preserve">Concentración de </w:t>
            </w:r>
            <w:r w:rsidRPr="00C24C3F">
              <w:rPr>
                <w:color w:val="auto"/>
              </w:rPr>
              <w:t>silicato</w:t>
            </w:r>
          </w:p>
        </w:tc>
        <w:tc>
          <w:tcPr>
            <w:tcW w:w="1165" w:type="dxa"/>
            <w:vAlign w:val="center"/>
          </w:tcPr>
          <w:p w:rsidR="001260B2" w:rsidRPr="00C24C3F" w:rsidRDefault="001260B2" w:rsidP="00C24C3F">
            <w:pPr>
              <w:spacing w:beforeLines="40" w:afterLines="40"/>
              <w:jc w:val="center"/>
              <w:cnfStyle w:val="000000000000"/>
              <w:rPr>
                <w:color w:val="auto"/>
              </w:rPr>
            </w:pPr>
            <w:r w:rsidRPr="00C24C3F">
              <w:rPr>
                <w:rFonts w:cstheme="minorHAnsi"/>
                <w:color w:val="auto"/>
              </w:rPr>
              <w:t>µ</w:t>
            </w:r>
            <w:r w:rsidR="00772569" w:rsidRPr="00C24C3F">
              <w:rPr>
                <w:rFonts w:ascii="Calibri" w:hAnsi="Calibri" w:cs="Calibri"/>
                <w:color w:val="auto"/>
              </w:rPr>
              <w:t>MOL/Kg</w:t>
            </w:r>
          </w:p>
        </w:tc>
      </w:tr>
      <w:tr w:rsidR="001260B2" w:rsidRPr="00C24C3F" w:rsidTr="00C24C3F">
        <w:trPr>
          <w:cnfStyle w:val="000000100000"/>
          <w:jc w:val="center"/>
        </w:trPr>
        <w:tc>
          <w:tcPr>
            <w:cnfStyle w:val="001000000000"/>
            <w:tcW w:w="1825" w:type="dxa"/>
            <w:vAlign w:val="center"/>
          </w:tcPr>
          <w:p w:rsidR="001260B2" w:rsidRPr="00C24C3F" w:rsidRDefault="001260B2" w:rsidP="00C24C3F">
            <w:pPr>
              <w:spacing w:beforeLines="40" w:afterLines="40"/>
              <w:jc w:val="center"/>
              <w:rPr>
                <w:color w:val="auto"/>
              </w:rPr>
            </w:pPr>
            <w:proofErr w:type="spellStart"/>
            <w:r w:rsidRPr="00C24C3F">
              <w:rPr>
                <w:color w:val="auto"/>
              </w:rPr>
              <w:t>cc_nutrientes</w:t>
            </w:r>
            <w:proofErr w:type="spellEnd"/>
          </w:p>
        </w:tc>
        <w:tc>
          <w:tcPr>
            <w:tcW w:w="5654" w:type="dxa"/>
            <w:vAlign w:val="center"/>
          </w:tcPr>
          <w:p w:rsidR="001260B2" w:rsidRPr="00C24C3F" w:rsidRDefault="001260B2" w:rsidP="00B01A22">
            <w:pPr>
              <w:spacing w:beforeLines="40" w:afterLines="40"/>
              <w:jc w:val="center"/>
              <w:cnfStyle w:val="000000100000"/>
              <w:rPr>
                <w:color w:val="auto"/>
              </w:rPr>
            </w:pPr>
            <w:r w:rsidRPr="00C24C3F">
              <w:rPr>
                <w:color w:val="auto"/>
              </w:rPr>
              <w:t xml:space="preserve">Control de calidad aplicado durante el procesado de nutrientes inorgánicos (ver </w:t>
            </w:r>
            <w:r w:rsidR="00B01A22">
              <w:rPr>
                <w:color w:val="auto"/>
              </w:rPr>
              <w:t>s</w:t>
            </w:r>
            <w:r w:rsidRPr="00C24C3F">
              <w:rPr>
                <w:color w:val="auto"/>
              </w:rPr>
              <w:t xml:space="preserve">ección </w:t>
            </w:r>
            <w:r w:rsidR="00B01A22">
              <w:rPr>
                <w:color w:val="auto"/>
              </w:rPr>
              <w:fldChar w:fldCharType="begin"/>
            </w:r>
            <w:r w:rsidR="00B01A22">
              <w:rPr>
                <w:color w:val="auto"/>
              </w:rPr>
              <w:instrText xml:space="preserve"> REF _Ref120704717 \r \h </w:instrText>
            </w:r>
            <w:r w:rsidR="00B01A22">
              <w:rPr>
                <w:color w:val="auto"/>
              </w:rPr>
            </w:r>
            <w:r w:rsidR="00B01A22">
              <w:rPr>
                <w:color w:val="auto"/>
              </w:rPr>
              <w:fldChar w:fldCharType="separate"/>
            </w:r>
            <w:r w:rsidR="00B01A22">
              <w:rPr>
                <w:color w:val="auto"/>
              </w:rPr>
              <w:t>3.1</w:t>
            </w:r>
            <w:r w:rsidR="00B01A22">
              <w:rPr>
                <w:color w:val="auto"/>
              </w:rPr>
              <w:fldChar w:fldCharType="end"/>
            </w:r>
            <w:r w:rsidRPr="00C24C3F">
              <w:rPr>
                <w:color w:val="auto"/>
              </w:rPr>
              <w:t>)</w:t>
            </w:r>
          </w:p>
        </w:tc>
        <w:tc>
          <w:tcPr>
            <w:tcW w:w="1165" w:type="dxa"/>
            <w:vAlign w:val="center"/>
          </w:tcPr>
          <w:p w:rsidR="001260B2" w:rsidRPr="00C24C3F" w:rsidRDefault="001260B2" w:rsidP="00C24C3F">
            <w:pPr>
              <w:spacing w:beforeLines="40" w:afterLines="40"/>
              <w:jc w:val="center"/>
              <w:cnfStyle w:val="000000100000"/>
              <w:rPr>
                <w:color w:val="auto"/>
              </w:rPr>
            </w:pPr>
          </w:p>
        </w:tc>
      </w:tr>
      <w:tr w:rsidR="001260B2" w:rsidRPr="00C24C3F" w:rsidTr="00C24C3F">
        <w:trPr>
          <w:jc w:val="center"/>
        </w:trPr>
        <w:tc>
          <w:tcPr>
            <w:cnfStyle w:val="001000000000"/>
            <w:tcW w:w="1825" w:type="dxa"/>
            <w:vAlign w:val="center"/>
          </w:tcPr>
          <w:p w:rsidR="001260B2" w:rsidRPr="00C24C3F" w:rsidRDefault="00772569" w:rsidP="00C24C3F">
            <w:pPr>
              <w:spacing w:beforeLines="40" w:afterLines="40"/>
              <w:jc w:val="center"/>
              <w:rPr>
                <w:color w:val="auto"/>
              </w:rPr>
            </w:pPr>
            <w:proofErr w:type="spellStart"/>
            <w:r w:rsidRPr="00C24C3F">
              <w:rPr>
                <w:color w:val="auto"/>
              </w:rPr>
              <w:t>tcarbn</w:t>
            </w:r>
            <w:proofErr w:type="spellEnd"/>
          </w:p>
        </w:tc>
        <w:tc>
          <w:tcPr>
            <w:tcW w:w="5654" w:type="dxa"/>
            <w:vAlign w:val="center"/>
          </w:tcPr>
          <w:p w:rsidR="001260B2" w:rsidRPr="00C24C3F" w:rsidRDefault="00772569" w:rsidP="00C24C3F">
            <w:pPr>
              <w:spacing w:beforeLines="40" w:afterLines="40"/>
              <w:jc w:val="center"/>
              <w:cnfStyle w:val="000000000000"/>
              <w:rPr>
                <w:color w:val="auto"/>
              </w:rPr>
            </w:pPr>
            <w:r w:rsidRPr="00C24C3F">
              <w:rPr>
                <w:color w:val="auto"/>
              </w:rPr>
              <w:t>Concentración de carbono inorgánico total (DIC).</w:t>
            </w:r>
          </w:p>
        </w:tc>
        <w:tc>
          <w:tcPr>
            <w:tcW w:w="1165" w:type="dxa"/>
            <w:vAlign w:val="center"/>
          </w:tcPr>
          <w:p w:rsidR="001260B2" w:rsidRPr="00C24C3F" w:rsidRDefault="00772569" w:rsidP="00C24C3F">
            <w:pPr>
              <w:spacing w:beforeLines="40" w:afterLines="40"/>
              <w:jc w:val="center"/>
              <w:cnfStyle w:val="000000000000"/>
              <w:rPr>
                <w:color w:val="auto"/>
              </w:rPr>
            </w:pPr>
            <w:r w:rsidRPr="00C24C3F">
              <w:rPr>
                <w:rFonts w:cstheme="minorHAnsi"/>
                <w:color w:val="auto"/>
              </w:rPr>
              <w:t>µ</w:t>
            </w:r>
            <w:r w:rsidRPr="00C24C3F">
              <w:rPr>
                <w:rFonts w:ascii="Calibri" w:hAnsi="Calibri" w:cs="Calibri"/>
                <w:color w:val="auto"/>
              </w:rPr>
              <w:t>MOL/Kg</w:t>
            </w:r>
          </w:p>
        </w:tc>
      </w:tr>
      <w:tr w:rsidR="001260B2" w:rsidRPr="00C24C3F" w:rsidTr="00C24C3F">
        <w:trPr>
          <w:cnfStyle w:val="000000100000"/>
          <w:jc w:val="center"/>
        </w:trPr>
        <w:tc>
          <w:tcPr>
            <w:cnfStyle w:val="001000000000"/>
            <w:tcW w:w="1825" w:type="dxa"/>
            <w:vAlign w:val="center"/>
          </w:tcPr>
          <w:p w:rsidR="001260B2" w:rsidRPr="00C24C3F" w:rsidRDefault="00772569" w:rsidP="00C24C3F">
            <w:pPr>
              <w:spacing w:beforeLines="40" w:afterLines="40"/>
              <w:jc w:val="center"/>
              <w:rPr>
                <w:color w:val="auto"/>
              </w:rPr>
            </w:pPr>
            <w:proofErr w:type="spellStart"/>
            <w:r w:rsidRPr="00C24C3F">
              <w:rPr>
                <w:color w:val="auto"/>
              </w:rPr>
              <w:lastRenderedPageBreak/>
              <w:t>doc</w:t>
            </w:r>
            <w:proofErr w:type="spellEnd"/>
          </w:p>
        </w:tc>
        <w:tc>
          <w:tcPr>
            <w:tcW w:w="5654" w:type="dxa"/>
            <w:vAlign w:val="center"/>
          </w:tcPr>
          <w:p w:rsidR="001260B2" w:rsidRPr="00C24C3F" w:rsidRDefault="00772569" w:rsidP="00C24C3F">
            <w:pPr>
              <w:spacing w:beforeLines="40" w:afterLines="40"/>
              <w:jc w:val="center"/>
              <w:cnfStyle w:val="000000100000"/>
              <w:rPr>
                <w:color w:val="auto"/>
              </w:rPr>
            </w:pPr>
            <w:r w:rsidRPr="00C24C3F">
              <w:rPr>
                <w:color w:val="auto"/>
              </w:rPr>
              <w:t>Concentración de carbono orgánico disuelto total.</w:t>
            </w:r>
          </w:p>
        </w:tc>
        <w:tc>
          <w:tcPr>
            <w:tcW w:w="1165" w:type="dxa"/>
            <w:vAlign w:val="center"/>
          </w:tcPr>
          <w:p w:rsidR="001260B2" w:rsidRPr="00C24C3F" w:rsidRDefault="00772569" w:rsidP="00C24C3F">
            <w:pPr>
              <w:spacing w:beforeLines="40" w:afterLines="40"/>
              <w:jc w:val="center"/>
              <w:cnfStyle w:val="000000100000"/>
              <w:rPr>
                <w:color w:val="auto"/>
              </w:rPr>
            </w:pPr>
            <w:r w:rsidRPr="00C24C3F">
              <w:rPr>
                <w:rFonts w:cstheme="minorHAnsi"/>
                <w:color w:val="auto"/>
              </w:rPr>
              <w:t>µ</w:t>
            </w:r>
            <w:r w:rsidRPr="00C24C3F">
              <w:rPr>
                <w:rFonts w:ascii="Calibri" w:hAnsi="Calibri" w:cs="Calibri"/>
                <w:color w:val="auto"/>
              </w:rPr>
              <w:t>MOL/Kg</w:t>
            </w:r>
          </w:p>
        </w:tc>
      </w:tr>
      <w:tr w:rsidR="001260B2" w:rsidRPr="00C24C3F" w:rsidTr="00C24C3F">
        <w:trPr>
          <w:jc w:val="center"/>
        </w:trPr>
        <w:tc>
          <w:tcPr>
            <w:cnfStyle w:val="001000000000"/>
            <w:tcW w:w="1825" w:type="dxa"/>
            <w:vAlign w:val="center"/>
          </w:tcPr>
          <w:p w:rsidR="001260B2" w:rsidRPr="00C24C3F" w:rsidRDefault="00772569" w:rsidP="00C24C3F">
            <w:pPr>
              <w:spacing w:beforeLines="40" w:afterLines="40"/>
              <w:jc w:val="center"/>
              <w:rPr>
                <w:color w:val="auto"/>
              </w:rPr>
            </w:pPr>
            <w:proofErr w:type="spellStart"/>
            <w:r w:rsidRPr="00C24C3F">
              <w:rPr>
                <w:color w:val="auto"/>
              </w:rPr>
              <w:t>cdom</w:t>
            </w:r>
            <w:proofErr w:type="spellEnd"/>
          </w:p>
        </w:tc>
        <w:tc>
          <w:tcPr>
            <w:tcW w:w="5654" w:type="dxa"/>
            <w:vAlign w:val="center"/>
          </w:tcPr>
          <w:p w:rsidR="001260B2" w:rsidRPr="00C24C3F" w:rsidRDefault="00772569" w:rsidP="00C24C3F">
            <w:pPr>
              <w:spacing w:beforeLines="40" w:afterLines="40"/>
              <w:jc w:val="center"/>
              <w:cnfStyle w:val="000000000000"/>
              <w:rPr>
                <w:color w:val="auto"/>
              </w:rPr>
            </w:pPr>
            <w:r w:rsidRPr="00C24C3F">
              <w:rPr>
                <w:color w:val="auto"/>
              </w:rPr>
              <w:t xml:space="preserve">Concentración de materia orgánica </w:t>
            </w:r>
            <w:proofErr w:type="spellStart"/>
            <w:r w:rsidRPr="00C24C3F">
              <w:rPr>
                <w:color w:val="auto"/>
              </w:rPr>
              <w:t>cromófora</w:t>
            </w:r>
            <w:proofErr w:type="spellEnd"/>
            <w:r w:rsidRPr="00C24C3F">
              <w:rPr>
                <w:color w:val="auto"/>
              </w:rPr>
              <w:t xml:space="preserve"> (CDOM).</w:t>
            </w:r>
          </w:p>
        </w:tc>
        <w:tc>
          <w:tcPr>
            <w:tcW w:w="1165" w:type="dxa"/>
            <w:vAlign w:val="center"/>
          </w:tcPr>
          <w:p w:rsidR="001260B2" w:rsidRPr="00C24C3F" w:rsidRDefault="00772569" w:rsidP="00C24C3F">
            <w:pPr>
              <w:spacing w:beforeLines="40" w:afterLines="40"/>
              <w:jc w:val="center"/>
              <w:cnfStyle w:val="000000000000"/>
              <w:rPr>
                <w:color w:val="auto"/>
              </w:rPr>
            </w:pPr>
            <w:r w:rsidRPr="00C24C3F">
              <w:rPr>
                <w:rFonts w:cstheme="minorHAnsi"/>
                <w:color w:val="auto"/>
              </w:rPr>
              <w:t>µ</w:t>
            </w:r>
            <w:r w:rsidRPr="00C24C3F">
              <w:rPr>
                <w:rFonts w:ascii="Calibri" w:hAnsi="Calibri" w:cs="Calibri"/>
                <w:color w:val="auto"/>
              </w:rPr>
              <w:t>MOL/Kg</w:t>
            </w:r>
          </w:p>
        </w:tc>
      </w:tr>
      <w:tr w:rsidR="001260B2" w:rsidRPr="00C24C3F" w:rsidTr="00C24C3F">
        <w:trPr>
          <w:cnfStyle w:val="000000100000"/>
          <w:jc w:val="center"/>
        </w:trPr>
        <w:tc>
          <w:tcPr>
            <w:cnfStyle w:val="001000000000"/>
            <w:tcW w:w="1825" w:type="dxa"/>
            <w:vAlign w:val="center"/>
          </w:tcPr>
          <w:p w:rsidR="001260B2" w:rsidRPr="00C24C3F" w:rsidRDefault="00772569" w:rsidP="00C24C3F">
            <w:pPr>
              <w:spacing w:beforeLines="40" w:afterLines="40"/>
              <w:jc w:val="center"/>
              <w:rPr>
                <w:color w:val="auto"/>
              </w:rPr>
            </w:pPr>
            <w:proofErr w:type="spellStart"/>
            <w:r w:rsidRPr="00C24C3F">
              <w:rPr>
                <w:color w:val="auto"/>
              </w:rPr>
              <w:t>clorofila_a</w:t>
            </w:r>
            <w:proofErr w:type="spellEnd"/>
          </w:p>
        </w:tc>
        <w:tc>
          <w:tcPr>
            <w:tcW w:w="5654" w:type="dxa"/>
            <w:vAlign w:val="center"/>
          </w:tcPr>
          <w:p w:rsidR="001260B2" w:rsidRPr="00C24C3F" w:rsidRDefault="00772569" w:rsidP="00C24C3F">
            <w:pPr>
              <w:spacing w:beforeLines="40" w:afterLines="40"/>
              <w:jc w:val="center"/>
              <w:cnfStyle w:val="000000100000"/>
              <w:rPr>
                <w:color w:val="auto"/>
              </w:rPr>
            </w:pPr>
            <w:r w:rsidRPr="00C24C3F">
              <w:rPr>
                <w:color w:val="auto"/>
              </w:rPr>
              <w:t xml:space="preserve">Concentración de clorofila </w:t>
            </w:r>
            <w:r w:rsidRPr="00C24C3F">
              <w:rPr>
                <w:rFonts w:cstheme="minorHAnsi"/>
                <w:color w:val="auto"/>
              </w:rPr>
              <w:t>α</w:t>
            </w:r>
          </w:p>
        </w:tc>
        <w:tc>
          <w:tcPr>
            <w:tcW w:w="1165" w:type="dxa"/>
            <w:vAlign w:val="center"/>
          </w:tcPr>
          <w:p w:rsidR="001260B2" w:rsidRPr="00C24C3F" w:rsidRDefault="001260B2" w:rsidP="00C24C3F">
            <w:pPr>
              <w:spacing w:beforeLines="40" w:afterLines="40"/>
              <w:jc w:val="center"/>
              <w:cnfStyle w:val="000000100000"/>
              <w:rPr>
                <w:color w:val="auto"/>
              </w:rPr>
            </w:pPr>
          </w:p>
        </w:tc>
      </w:tr>
      <w:tr w:rsidR="00772569" w:rsidRPr="00C24C3F" w:rsidTr="00C24C3F">
        <w:trPr>
          <w:jc w:val="center"/>
        </w:trPr>
        <w:tc>
          <w:tcPr>
            <w:cnfStyle w:val="001000000000"/>
            <w:tcW w:w="1825" w:type="dxa"/>
            <w:vAlign w:val="center"/>
          </w:tcPr>
          <w:p w:rsidR="00772569" w:rsidRPr="00C24C3F" w:rsidRDefault="00772569" w:rsidP="00C24C3F">
            <w:pPr>
              <w:spacing w:beforeLines="40" w:afterLines="40"/>
              <w:jc w:val="center"/>
              <w:rPr>
                <w:color w:val="auto"/>
              </w:rPr>
            </w:pPr>
            <w:r w:rsidRPr="00C24C3F">
              <w:rPr>
                <w:color w:val="auto"/>
              </w:rPr>
              <w:t>alcalinidad</w:t>
            </w:r>
          </w:p>
        </w:tc>
        <w:tc>
          <w:tcPr>
            <w:tcW w:w="5654" w:type="dxa"/>
            <w:vAlign w:val="center"/>
          </w:tcPr>
          <w:p w:rsidR="00772569" w:rsidRPr="00C24C3F" w:rsidRDefault="00772569" w:rsidP="00C24C3F">
            <w:pPr>
              <w:spacing w:beforeLines="40" w:afterLines="40"/>
              <w:jc w:val="center"/>
              <w:cnfStyle w:val="000000000000"/>
              <w:rPr>
                <w:color w:val="auto"/>
              </w:rPr>
            </w:pPr>
            <w:r w:rsidRPr="00C24C3F">
              <w:rPr>
                <w:color w:val="auto"/>
              </w:rPr>
              <w:t>Alcalinidad</w:t>
            </w:r>
          </w:p>
        </w:tc>
        <w:tc>
          <w:tcPr>
            <w:tcW w:w="1165" w:type="dxa"/>
            <w:vAlign w:val="center"/>
          </w:tcPr>
          <w:p w:rsidR="00772569" w:rsidRPr="00C24C3F" w:rsidRDefault="00772569" w:rsidP="00C24C3F">
            <w:pPr>
              <w:spacing w:beforeLines="40" w:afterLines="40"/>
              <w:jc w:val="center"/>
              <w:cnfStyle w:val="000000000000"/>
              <w:rPr>
                <w:rFonts w:ascii="Calibri" w:hAnsi="Calibri" w:cs="Calibri"/>
                <w:color w:val="auto"/>
              </w:rPr>
            </w:pPr>
            <w:r w:rsidRPr="00C24C3F">
              <w:rPr>
                <w:rFonts w:cstheme="minorHAnsi"/>
                <w:color w:val="auto"/>
              </w:rPr>
              <w:t>µ</w:t>
            </w:r>
            <w:r w:rsidRPr="00C24C3F">
              <w:rPr>
                <w:rFonts w:ascii="Calibri" w:hAnsi="Calibri" w:cs="Calibri"/>
                <w:color w:val="auto"/>
              </w:rPr>
              <w:t>MOL/Kg</w:t>
            </w:r>
          </w:p>
        </w:tc>
      </w:tr>
      <w:tr w:rsidR="00772569" w:rsidRPr="00C24C3F" w:rsidTr="00C24C3F">
        <w:trPr>
          <w:cnfStyle w:val="000000100000"/>
          <w:jc w:val="center"/>
        </w:trPr>
        <w:tc>
          <w:tcPr>
            <w:cnfStyle w:val="001000000000"/>
            <w:tcW w:w="1825" w:type="dxa"/>
            <w:vAlign w:val="center"/>
          </w:tcPr>
          <w:p w:rsidR="00772569" w:rsidRPr="00C24C3F" w:rsidRDefault="00772569" w:rsidP="00C24C3F">
            <w:pPr>
              <w:spacing w:beforeLines="40" w:afterLines="40"/>
              <w:jc w:val="center"/>
              <w:rPr>
                <w:color w:val="auto"/>
              </w:rPr>
            </w:pPr>
            <w:proofErr w:type="spellStart"/>
            <w:r w:rsidRPr="00C24C3F">
              <w:rPr>
                <w:color w:val="auto"/>
              </w:rPr>
              <w:t>ph</w:t>
            </w:r>
            <w:proofErr w:type="spellEnd"/>
          </w:p>
        </w:tc>
        <w:tc>
          <w:tcPr>
            <w:tcW w:w="5654" w:type="dxa"/>
            <w:vAlign w:val="center"/>
          </w:tcPr>
          <w:p w:rsidR="00772569" w:rsidRPr="00C24C3F" w:rsidRDefault="00772569" w:rsidP="00C24C3F">
            <w:pPr>
              <w:spacing w:beforeLines="40" w:afterLines="40"/>
              <w:jc w:val="center"/>
              <w:cnfStyle w:val="000000100000"/>
              <w:rPr>
                <w:color w:val="auto"/>
              </w:rPr>
            </w:pPr>
            <w:r w:rsidRPr="00C24C3F">
              <w:rPr>
                <w:color w:val="auto"/>
              </w:rPr>
              <w:t>pH</w:t>
            </w:r>
          </w:p>
        </w:tc>
        <w:tc>
          <w:tcPr>
            <w:tcW w:w="1165" w:type="dxa"/>
            <w:vAlign w:val="center"/>
          </w:tcPr>
          <w:p w:rsidR="00772569" w:rsidRPr="00C24C3F" w:rsidRDefault="00772569" w:rsidP="00C24C3F">
            <w:pPr>
              <w:spacing w:beforeLines="40" w:afterLines="40"/>
              <w:jc w:val="center"/>
              <w:cnfStyle w:val="000000100000"/>
              <w:rPr>
                <w:color w:val="auto"/>
              </w:rPr>
            </w:pPr>
          </w:p>
        </w:tc>
      </w:tr>
      <w:tr w:rsidR="00772569" w:rsidRPr="00C24C3F" w:rsidTr="00C24C3F">
        <w:trPr>
          <w:jc w:val="center"/>
        </w:trPr>
        <w:tc>
          <w:tcPr>
            <w:cnfStyle w:val="001000000000"/>
            <w:tcW w:w="1825" w:type="dxa"/>
            <w:vAlign w:val="center"/>
          </w:tcPr>
          <w:p w:rsidR="00772569" w:rsidRPr="00C24C3F" w:rsidRDefault="00C24C3F" w:rsidP="00C24C3F">
            <w:pPr>
              <w:spacing w:beforeLines="40" w:afterLines="40"/>
              <w:jc w:val="center"/>
              <w:rPr>
                <w:color w:val="auto"/>
              </w:rPr>
            </w:pPr>
            <w:proofErr w:type="spellStart"/>
            <w:r w:rsidRPr="00C24C3F">
              <w:rPr>
                <w:color w:val="auto"/>
              </w:rPr>
              <w:t>ph_metodo</w:t>
            </w:r>
            <w:proofErr w:type="spellEnd"/>
          </w:p>
        </w:tc>
        <w:tc>
          <w:tcPr>
            <w:tcW w:w="5654" w:type="dxa"/>
            <w:vAlign w:val="center"/>
          </w:tcPr>
          <w:p w:rsidR="00772569" w:rsidRPr="00C24C3F" w:rsidRDefault="009400E1" w:rsidP="00B01A22">
            <w:pPr>
              <w:spacing w:beforeLines="40" w:afterLines="40"/>
              <w:jc w:val="center"/>
              <w:cnfStyle w:val="000000000000"/>
              <w:rPr>
                <w:color w:val="auto"/>
              </w:rPr>
            </w:pPr>
            <w:r>
              <w:rPr>
                <w:color w:val="auto"/>
              </w:rPr>
              <w:t>Método</w:t>
            </w:r>
            <w:r w:rsidR="00C24C3F" w:rsidRPr="00C24C3F">
              <w:rPr>
                <w:color w:val="auto"/>
              </w:rPr>
              <w:t xml:space="preserve"> utilizado </w:t>
            </w:r>
            <w:r w:rsidR="00B01A22">
              <w:rPr>
                <w:color w:val="auto"/>
              </w:rPr>
              <w:t xml:space="preserve">para </w:t>
            </w:r>
            <w:r w:rsidR="00C24C3F" w:rsidRPr="00C24C3F">
              <w:rPr>
                <w:color w:val="auto"/>
              </w:rPr>
              <w:t>determina</w:t>
            </w:r>
            <w:r w:rsidR="00B01A22">
              <w:rPr>
                <w:color w:val="auto"/>
              </w:rPr>
              <w:t>r</w:t>
            </w:r>
            <w:r w:rsidR="00C24C3F" w:rsidRPr="00C24C3F">
              <w:rPr>
                <w:color w:val="auto"/>
              </w:rPr>
              <w:t xml:space="preserve"> el pH (ver</w:t>
            </w:r>
            <w:r w:rsidR="00B01A22">
              <w:rPr>
                <w:color w:val="auto"/>
              </w:rPr>
              <w:t xml:space="preserve"> sección</w:t>
            </w:r>
            <w:r w:rsidR="00C24C3F" w:rsidRPr="00C24C3F">
              <w:rPr>
                <w:color w:val="auto"/>
              </w:rPr>
              <w:t xml:space="preserve"> </w:t>
            </w:r>
            <w:r w:rsidR="00B01A22">
              <w:rPr>
                <w:color w:val="auto"/>
              </w:rPr>
              <w:fldChar w:fldCharType="begin"/>
            </w:r>
            <w:r w:rsidR="00B01A22">
              <w:rPr>
                <w:color w:val="auto"/>
              </w:rPr>
              <w:instrText xml:space="preserve"> REF _Ref120704649 \r \h </w:instrText>
            </w:r>
            <w:r w:rsidR="00B01A22">
              <w:rPr>
                <w:color w:val="auto"/>
              </w:rPr>
            </w:r>
            <w:r w:rsidR="00B01A22">
              <w:rPr>
                <w:color w:val="auto"/>
              </w:rPr>
              <w:fldChar w:fldCharType="separate"/>
            </w:r>
            <w:r w:rsidR="00B01A22">
              <w:rPr>
                <w:color w:val="auto"/>
              </w:rPr>
              <w:t>2.4</w:t>
            </w:r>
            <w:r w:rsidR="00B01A22">
              <w:rPr>
                <w:color w:val="auto"/>
              </w:rPr>
              <w:fldChar w:fldCharType="end"/>
            </w:r>
            <w:r w:rsidR="00C24C3F" w:rsidRPr="00C24C3F">
              <w:rPr>
                <w:color w:val="auto"/>
              </w:rPr>
              <w:t>)</w:t>
            </w:r>
          </w:p>
        </w:tc>
        <w:tc>
          <w:tcPr>
            <w:tcW w:w="1165" w:type="dxa"/>
            <w:vAlign w:val="center"/>
          </w:tcPr>
          <w:p w:rsidR="00772569" w:rsidRPr="00C24C3F" w:rsidRDefault="00772569" w:rsidP="00C24C3F">
            <w:pPr>
              <w:spacing w:beforeLines="40" w:afterLines="40"/>
              <w:jc w:val="center"/>
              <w:cnfStyle w:val="000000000000"/>
              <w:rPr>
                <w:color w:val="auto"/>
              </w:rPr>
            </w:pPr>
          </w:p>
        </w:tc>
      </w:tr>
    </w:tbl>
    <w:p w:rsidR="00F70F48" w:rsidRPr="002E40E6" w:rsidRDefault="003455D9" w:rsidP="002E40E6">
      <w:pPr>
        <w:pStyle w:val="Epgrafe"/>
        <w:jc w:val="center"/>
        <w:rPr>
          <w:color w:val="auto"/>
        </w:rPr>
      </w:pPr>
      <w:bookmarkStart w:id="0" w:name="_Ref120697792"/>
      <w:r w:rsidRPr="002E40E6">
        <w:rPr>
          <w:color w:val="auto"/>
        </w:rPr>
        <w:t xml:space="preserve">Tabla </w:t>
      </w:r>
      <w:r w:rsidRPr="002E40E6">
        <w:rPr>
          <w:color w:val="auto"/>
        </w:rPr>
        <w:fldChar w:fldCharType="begin"/>
      </w:r>
      <w:r w:rsidRPr="002E40E6">
        <w:rPr>
          <w:color w:val="auto"/>
        </w:rPr>
        <w:instrText xml:space="preserve"> SEQ Tabla \* ARABIC </w:instrText>
      </w:r>
      <w:r w:rsidRPr="002E40E6">
        <w:rPr>
          <w:color w:val="auto"/>
        </w:rPr>
        <w:fldChar w:fldCharType="separate"/>
      </w:r>
      <w:r w:rsidR="002E40E6">
        <w:rPr>
          <w:noProof/>
          <w:color w:val="auto"/>
        </w:rPr>
        <w:t>1</w:t>
      </w:r>
      <w:r w:rsidRPr="002E40E6">
        <w:rPr>
          <w:color w:val="auto"/>
        </w:rPr>
        <w:fldChar w:fldCharType="end"/>
      </w:r>
      <w:bookmarkEnd w:id="0"/>
      <w:r w:rsidRPr="002E40E6">
        <w:rPr>
          <w:color w:val="auto"/>
        </w:rPr>
        <w:t>. Variables</w:t>
      </w:r>
      <w:r w:rsidR="002E40E6" w:rsidRPr="002E40E6">
        <w:rPr>
          <w:color w:val="auto"/>
        </w:rPr>
        <w:t xml:space="preserve"> contenidas en la base de datos.</w:t>
      </w:r>
    </w:p>
    <w:p w:rsidR="00F70F48" w:rsidRDefault="003455D9">
      <w:r>
        <w:t>Las variables terminadas con el texto “</w:t>
      </w:r>
      <w:r w:rsidRPr="002E40E6">
        <w:rPr>
          <w:b/>
          <w:i/>
        </w:rPr>
        <w:t>_</w:t>
      </w:r>
      <w:proofErr w:type="spellStart"/>
      <w:r w:rsidRPr="002E40E6">
        <w:rPr>
          <w:b/>
          <w:i/>
        </w:rPr>
        <w:t>qf</w:t>
      </w:r>
      <w:proofErr w:type="spellEnd"/>
      <w:r>
        <w:t>” corresponden a los índices de calidad</w:t>
      </w:r>
      <w:r w:rsidR="002E40E6">
        <w:t xml:space="preserve"> asociados a las distintas variables</w:t>
      </w:r>
      <w:r>
        <w:t xml:space="preserve">. En la </w:t>
      </w:r>
      <w:r w:rsidR="002E40E6">
        <w:fldChar w:fldCharType="begin"/>
      </w:r>
      <w:r w:rsidR="002E40E6">
        <w:instrText xml:space="preserve"> REF _Ref120697776 \h </w:instrText>
      </w:r>
      <w:r w:rsidR="002E40E6">
        <w:fldChar w:fldCharType="separate"/>
      </w:r>
      <w:r w:rsidR="002E40E6" w:rsidRPr="002E40E6">
        <w:t xml:space="preserve">Tabla </w:t>
      </w:r>
      <w:r w:rsidR="002E40E6" w:rsidRPr="002E40E6">
        <w:rPr>
          <w:noProof/>
        </w:rPr>
        <w:t>2</w:t>
      </w:r>
      <w:r w:rsidR="002E40E6">
        <w:fldChar w:fldCharType="end"/>
      </w:r>
      <w:r w:rsidR="002E40E6">
        <w:t xml:space="preserve"> </w:t>
      </w:r>
      <w:r>
        <w:t xml:space="preserve">se resumen los valores de estos índices de calidad y su significado. Los índices se han establecido siguiendo las recomendaciones recogidas en </w:t>
      </w:r>
      <w:proofErr w:type="spellStart"/>
      <w:r>
        <w:t>Jiang</w:t>
      </w:r>
      <w:proofErr w:type="spellEnd"/>
      <w:r>
        <w:t xml:space="preserve"> et al.</w:t>
      </w:r>
      <w:r w:rsidR="002E40E6">
        <w:t xml:space="preserve"> </w:t>
      </w:r>
      <w:r>
        <w:t>(2022)</w:t>
      </w:r>
      <w:r w:rsidR="002E40E6">
        <w:t>.</w:t>
      </w:r>
    </w:p>
    <w:tbl>
      <w:tblPr>
        <w:tblStyle w:val="Sombreadoclaro-nfasis1"/>
        <w:tblW w:w="0" w:type="auto"/>
        <w:jc w:val="center"/>
        <w:tblInd w:w="906" w:type="dxa"/>
        <w:tblLook w:val="04A0"/>
      </w:tblPr>
      <w:tblGrid>
        <w:gridCol w:w="919"/>
        <w:gridCol w:w="4341"/>
      </w:tblGrid>
      <w:tr w:rsidR="003455D9" w:rsidRPr="00C24C3F" w:rsidTr="002E40E6">
        <w:trPr>
          <w:cnfStyle w:val="100000000000"/>
          <w:jc w:val="center"/>
        </w:trPr>
        <w:tc>
          <w:tcPr>
            <w:cnfStyle w:val="001000000000"/>
            <w:tcW w:w="919" w:type="dxa"/>
          </w:tcPr>
          <w:p w:rsidR="003455D9" w:rsidRPr="00C24C3F" w:rsidRDefault="003455D9" w:rsidP="00C75654">
            <w:pPr>
              <w:jc w:val="center"/>
              <w:rPr>
                <w:color w:val="auto"/>
              </w:rPr>
            </w:pPr>
            <w:r>
              <w:rPr>
                <w:color w:val="auto"/>
              </w:rPr>
              <w:t>Índice</w:t>
            </w:r>
          </w:p>
        </w:tc>
        <w:tc>
          <w:tcPr>
            <w:tcW w:w="4341" w:type="dxa"/>
          </w:tcPr>
          <w:p w:rsidR="003455D9" w:rsidRPr="00C24C3F" w:rsidRDefault="003455D9" w:rsidP="00C75654">
            <w:pPr>
              <w:jc w:val="center"/>
              <w:cnfStyle w:val="100000000000"/>
              <w:rPr>
                <w:color w:val="auto"/>
              </w:rPr>
            </w:pPr>
            <w:r w:rsidRPr="00C24C3F">
              <w:rPr>
                <w:color w:val="auto"/>
              </w:rPr>
              <w:t>Descripción</w:t>
            </w:r>
          </w:p>
        </w:tc>
      </w:tr>
      <w:tr w:rsidR="003455D9" w:rsidRPr="00C24C3F" w:rsidTr="002E40E6">
        <w:trPr>
          <w:cnfStyle w:val="000000100000"/>
          <w:jc w:val="center"/>
        </w:trPr>
        <w:tc>
          <w:tcPr>
            <w:cnfStyle w:val="001000000000"/>
            <w:tcW w:w="919" w:type="dxa"/>
            <w:vAlign w:val="center"/>
          </w:tcPr>
          <w:p w:rsidR="003455D9" w:rsidRPr="00C24C3F" w:rsidRDefault="003455D9" w:rsidP="00C75654">
            <w:pPr>
              <w:spacing w:beforeLines="40" w:afterLines="40"/>
              <w:jc w:val="center"/>
              <w:rPr>
                <w:color w:val="auto"/>
              </w:rPr>
            </w:pPr>
            <w:r>
              <w:rPr>
                <w:color w:val="auto"/>
              </w:rPr>
              <w:t>0</w:t>
            </w:r>
          </w:p>
        </w:tc>
        <w:tc>
          <w:tcPr>
            <w:tcW w:w="4341" w:type="dxa"/>
            <w:vAlign w:val="center"/>
          </w:tcPr>
          <w:p w:rsidR="003455D9" w:rsidRPr="00C24C3F" w:rsidRDefault="003455D9" w:rsidP="00C75654">
            <w:pPr>
              <w:spacing w:beforeLines="40" w:afterLines="40"/>
              <w:jc w:val="center"/>
              <w:cnfStyle w:val="000000100000"/>
              <w:rPr>
                <w:color w:val="auto"/>
              </w:rPr>
            </w:pPr>
            <w:r>
              <w:rPr>
                <w:color w:val="auto"/>
              </w:rPr>
              <w:t>Dato interpolado o calculado</w:t>
            </w:r>
          </w:p>
        </w:tc>
      </w:tr>
      <w:tr w:rsidR="003455D9" w:rsidRPr="00C24C3F" w:rsidTr="002E40E6">
        <w:trPr>
          <w:jc w:val="center"/>
        </w:trPr>
        <w:tc>
          <w:tcPr>
            <w:cnfStyle w:val="001000000000"/>
            <w:tcW w:w="919" w:type="dxa"/>
            <w:vAlign w:val="center"/>
          </w:tcPr>
          <w:p w:rsidR="003455D9" w:rsidRPr="00C24C3F" w:rsidRDefault="003455D9" w:rsidP="00C75654">
            <w:pPr>
              <w:spacing w:beforeLines="40" w:afterLines="40"/>
              <w:jc w:val="center"/>
              <w:rPr>
                <w:color w:val="auto"/>
              </w:rPr>
            </w:pPr>
            <w:r>
              <w:rPr>
                <w:color w:val="auto"/>
              </w:rPr>
              <w:t>1</w:t>
            </w:r>
          </w:p>
        </w:tc>
        <w:tc>
          <w:tcPr>
            <w:tcW w:w="4341" w:type="dxa"/>
            <w:vAlign w:val="center"/>
          </w:tcPr>
          <w:p w:rsidR="003455D9" w:rsidRPr="00C24C3F" w:rsidRDefault="003455D9" w:rsidP="003455D9">
            <w:pPr>
              <w:spacing w:beforeLines="40" w:afterLines="40"/>
              <w:jc w:val="center"/>
              <w:cnfStyle w:val="000000000000"/>
              <w:rPr>
                <w:color w:val="auto"/>
              </w:rPr>
            </w:pPr>
            <w:r>
              <w:rPr>
                <w:color w:val="auto"/>
              </w:rPr>
              <w:t xml:space="preserve">Dato no evaluado o calidad desconocida </w:t>
            </w:r>
          </w:p>
        </w:tc>
      </w:tr>
      <w:tr w:rsidR="003455D9" w:rsidRPr="00C24C3F" w:rsidTr="002E40E6">
        <w:trPr>
          <w:cnfStyle w:val="000000100000"/>
          <w:jc w:val="center"/>
        </w:trPr>
        <w:tc>
          <w:tcPr>
            <w:cnfStyle w:val="001000000000"/>
            <w:tcW w:w="919" w:type="dxa"/>
            <w:vAlign w:val="center"/>
          </w:tcPr>
          <w:p w:rsidR="003455D9" w:rsidRPr="00C24C3F" w:rsidRDefault="003455D9" w:rsidP="00C75654">
            <w:pPr>
              <w:spacing w:beforeLines="40" w:afterLines="40"/>
              <w:jc w:val="center"/>
              <w:rPr>
                <w:color w:val="auto"/>
              </w:rPr>
            </w:pPr>
            <w:r>
              <w:rPr>
                <w:color w:val="auto"/>
              </w:rPr>
              <w:t>2</w:t>
            </w:r>
          </w:p>
        </w:tc>
        <w:tc>
          <w:tcPr>
            <w:tcW w:w="4341" w:type="dxa"/>
            <w:vAlign w:val="center"/>
          </w:tcPr>
          <w:p w:rsidR="003455D9" w:rsidRPr="00C24C3F" w:rsidRDefault="003455D9" w:rsidP="00C75654">
            <w:pPr>
              <w:spacing w:beforeLines="40" w:afterLines="40"/>
              <w:jc w:val="center"/>
              <w:cnfStyle w:val="000000100000"/>
              <w:rPr>
                <w:color w:val="auto"/>
              </w:rPr>
            </w:pPr>
            <w:r>
              <w:rPr>
                <w:color w:val="auto"/>
              </w:rPr>
              <w:t>Dato aceptable</w:t>
            </w:r>
          </w:p>
        </w:tc>
      </w:tr>
      <w:tr w:rsidR="003455D9" w:rsidRPr="00C24C3F" w:rsidTr="002E40E6">
        <w:trPr>
          <w:jc w:val="center"/>
        </w:trPr>
        <w:tc>
          <w:tcPr>
            <w:cnfStyle w:val="001000000000"/>
            <w:tcW w:w="919" w:type="dxa"/>
            <w:vAlign w:val="center"/>
          </w:tcPr>
          <w:p w:rsidR="003455D9" w:rsidRPr="00C24C3F" w:rsidRDefault="003455D9" w:rsidP="00C75654">
            <w:pPr>
              <w:spacing w:beforeLines="40" w:afterLines="40"/>
              <w:jc w:val="center"/>
              <w:rPr>
                <w:color w:val="auto"/>
              </w:rPr>
            </w:pPr>
            <w:r>
              <w:rPr>
                <w:color w:val="auto"/>
              </w:rPr>
              <w:t>3</w:t>
            </w:r>
          </w:p>
        </w:tc>
        <w:tc>
          <w:tcPr>
            <w:tcW w:w="4341" w:type="dxa"/>
            <w:vAlign w:val="center"/>
          </w:tcPr>
          <w:p w:rsidR="003455D9" w:rsidRPr="00C24C3F" w:rsidRDefault="003455D9" w:rsidP="00C75654">
            <w:pPr>
              <w:spacing w:beforeLines="40" w:afterLines="40"/>
              <w:jc w:val="center"/>
              <w:cnfStyle w:val="000000000000"/>
              <w:rPr>
                <w:color w:val="auto"/>
              </w:rPr>
            </w:pPr>
            <w:r>
              <w:rPr>
                <w:color w:val="auto"/>
              </w:rPr>
              <w:t>Dato cuestionable</w:t>
            </w:r>
          </w:p>
        </w:tc>
      </w:tr>
      <w:tr w:rsidR="003455D9" w:rsidRPr="00C24C3F" w:rsidTr="002E40E6">
        <w:trPr>
          <w:cnfStyle w:val="000000100000"/>
          <w:jc w:val="center"/>
        </w:trPr>
        <w:tc>
          <w:tcPr>
            <w:cnfStyle w:val="001000000000"/>
            <w:tcW w:w="919" w:type="dxa"/>
            <w:vAlign w:val="center"/>
          </w:tcPr>
          <w:p w:rsidR="003455D9" w:rsidRPr="00C24C3F" w:rsidRDefault="003455D9" w:rsidP="00C75654">
            <w:pPr>
              <w:spacing w:beforeLines="40" w:afterLines="40"/>
              <w:jc w:val="center"/>
              <w:rPr>
                <w:color w:val="auto"/>
              </w:rPr>
            </w:pPr>
            <w:r>
              <w:rPr>
                <w:color w:val="auto"/>
              </w:rPr>
              <w:t>4</w:t>
            </w:r>
          </w:p>
        </w:tc>
        <w:tc>
          <w:tcPr>
            <w:tcW w:w="4341" w:type="dxa"/>
            <w:vAlign w:val="center"/>
          </w:tcPr>
          <w:p w:rsidR="003455D9" w:rsidRPr="00C24C3F" w:rsidRDefault="003455D9" w:rsidP="00C75654">
            <w:pPr>
              <w:spacing w:beforeLines="40" w:afterLines="40"/>
              <w:jc w:val="center"/>
              <w:cnfStyle w:val="000000100000"/>
              <w:rPr>
                <w:color w:val="auto"/>
              </w:rPr>
            </w:pPr>
            <w:r>
              <w:rPr>
                <w:color w:val="auto"/>
              </w:rPr>
              <w:t>Dato erróneo</w:t>
            </w:r>
          </w:p>
        </w:tc>
      </w:tr>
      <w:tr w:rsidR="003455D9" w:rsidRPr="00C24C3F" w:rsidTr="002E40E6">
        <w:trPr>
          <w:jc w:val="center"/>
        </w:trPr>
        <w:tc>
          <w:tcPr>
            <w:cnfStyle w:val="001000000000"/>
            <w:tcW w:w="919" w:type="dxa"/>
            <w:vAlign w:val="center"/>
          </w:tcPr>
          <w:p w:rsidR="003455D9" w:rsidRPr="00C24C3F" w:rsidRDefault="003455D9" w:rsidP="00C75654">
            <w:pPr>
              <w:spacing w:beforeLines="40" w:afterLines="40"/>
              <w:jc w:val="center"/>
              <w:rPr>
                <w:color w:val="auto"/>
              </w:rPr>
            </w:pPr>
            <w:r>
              <w:rPr>
                <w:color w:val="auto"/>
              </w:rPr>
              <w:t>6</w:t>
            </w:r>
          </w:p>
        </w:tc>
        <w:tc>
          <w:tcPr>
            <w:tcW w:w="4341" w:type="dxa"/>
            <w:vAlign w:val="center"/>
          </w:tcPr>
          <w:p w:rsidR="003455D9" w:rsidRPr="00C24C3F" w:rsidRDefault="003455D9" w:rsidP="00C75654">
            <w:pPr>
              <w:spacing w:beforeLines="40" w:afterLines="40"/>
              <w:jc w:val="center"/>
              <w:cnfStyle w:val="000000000000"/>
              <w:rPr>
                <w:color w:val="auto"/>
              </w:rPr>
            </w:pPr>
            <w:r>
              <w:rPr>
                <w:color w:val="auto"/>
              </w:rPr>
              <w:t>Dato correspondiente a media de replicados</w:t>
            </w:r>
          </w:p>
        </w:tc>
      </w:tr>
      <w:tr w:rsidR="003455D9" w:rsidRPr="00C24C3F" w:rsidTr="002E40E6">
        <w:trPr>
          <w:cnfStyle w:val="000000100000"/>
          <w:jc w:val="center"/>
        </w:trPr>
        <w:tc>
          <w:tcPr>
            <w:cnfStyle w:val="001000000000"/>
            <w:tcW w:w="919" w:type="dxa"/>
            <w:vAlign w:val="center"/>
          </w:tcPr>
          <w:p w:rsidR="003455D9" w:rsidRPr="00C24C3F" w:rsidRDefault="003455D9" w:rsidP="00C75654">
            <w:pPr>
              <w:spacing w:beforeLines="40" w:afterLines="40"/>
              <w:jc w:val="center"/>
              <w:rPr>
                <w:color w:val="auto"/>
              </w:rPr>
            </w:pPr>
            <w:r>
              <w:rPr>
                <w:color w:val="auto"/>
              </w:rPr>
              <w:t>9</w:t>
            </w:r>
          </w:p>
        </w:tc>
        <w:tc>
          <w:tcPr>
            <w:tcW w:w="4341" w:type="dxa"/>
            <w:vAlign w:val="center"/>
          </w:tcPr>
          <w:p w:rsidR="003455D9" w:rsidRPr="00C24C3F" w:rsidRDefault="003455D9" w:rsidP="00C75654">
            <w:pPr>
              <w:spacing w:beforeLines="40" w:afterLines="40"/>
              <w:jc w:val="center"/>
              <w:cnfStyle w:val="000000100000"/>
              <w:rPr>
                <w:color w:val="auto"/>
              </w:rPr>
            </w:pPr>
            <w:r>
              <w:rPr>
                <w:color w:val="auto"/>
              </w:rPr>
              <w:t>Dato no disponible</w:t>
            </w:r>
          </w:p>
        </w:tc>
      </w:tr>
    </w:tbl>
    <w:p w:rsidR="00672596" w:rsidRDefault="002E40E6" w:rsidP="002E40E6">
      <w:pPr>
        <w:pStyle w:val="Epgrafe"/>
        <w:jc w:val="center"/>
        <w:rPr>
          <w:color w:val="auto"/>
        </w:rPr>
      </w:pPr>
      <w:bookmarkStart w:id="1" w:name="_Ref120697776"/>
      <w:r w:rsidRPr="002E40E6">
        <w:rPr>
          <w:color w:val="auto"/>
        </w:rPr>
        <w:t xml:space="preserve">Tabla </w:t>
      </w:r>
      <w:r w:rsidRPr="002E40E6">
        <w:rPr>
          <w:color w:val="auto"/>
        </w:rPr>
        <w:fldChar w:fldCharType="begin"/>
      </w:r>
      <w:r w:rsidRPr="002E40E6">
        <w:rPr>
          <w:color w:val="auto"/>
        </w:rPr>
        <w:instrText xml:space="preserve"> SEQ Tabla \* ARABIC </w:instrText>
      </w:r>
      <w:r w:rsidRPr="002E40E6">
        <w:rPr>
          <w:color w:val="auto"/>
        </w:rPr>
        <w:fldChar w:fldCharType="separate"/>
      </w:r>
      <w:r w:rsidRPr="002E40E6">
        <w:rPr>
          <w:noProof/>
          <w:color w:val="auto"/>
        </w:rPr>
        <w:t>2</w:t>
      </w:r>
      <w:r w:rsidRPr="002E40E6">
        <w:rPr>
          <w:color w:val="auto"/>
        </w:rPr>
        <w:fldChar w:fldCharType="end"/>
      </w:r>
      <w:bookmarkEnd w:id="1"/>
      <w:r w:rsidRPr="002E40E6">
        <w:rPr>
          <w:color w:val="auto"/>
        </w:rPr>
        <w:t xml:space="preserve">. Índices de calidad utilizados. Información extraída de </w:t>
      </w:r>
      <w:proofErr w:type="spellStart"/>
      <w:r w:rsidRPr="002E40E6">
        <w:rPr>
          <w:color w:val="auto"/>
        </w:rPr>
        <w:t>Jiang</w:t>
      </w:r>
      <w:proofErr w:type="spellEnd"/>
      <w:r w:rsidRPr="002E40E6">
        <w:rPr>
          <w:color w:val="auto"/>
        </w:rPr>
        <w:t xml:space="preserve"> et al</w:t>
      </w:r>
      <w:proofErr w:type="gramStart"/>
      <w:r w:rsidRPr="002E40E6">
        <w:rPr>
          <w:color w:val="auto"/>
        </w:rPr>
        <w:t>.(</w:t>
      </w:r>
      <w:proofErr w:type="gramEnd"/>
      <w:r w:rsidRPr="002E40E6">
        <w:rPr>
          <w:color w:val="auto"/>
        </w:rPr>
        <w:t>2022)</w:t>
      </w:r>
    </w:p>
    <w:p w:rsidR="00672596" w:rsidRDefault="00672596" w:rsidP="00672596">
      <w:pPr>
        <w:rPr>
          <w:sz w:val="18"/>
          <w:szCs w:val="18"/>
        </w:rPr>
      </w:pPr>
      <w:r>
        <w:br w:type="page"/>
      </w:r>
    </w:p>
    <w:p w:rsidR="00F70F48" w:rsidRPr="00B01A22" w:rsidRDefault="002E40E6" w:rsidP="009A4CF1">
      <w:pPr>
        <w:pStyle w:val="Ttulo2"/>
        <w:numPr>
          <w:ilvl w:val="0"/>
          <w:numId w:val="1"/>
        </w:numPr>
      </w:pPr>
      <w:r w:rsidRPr="00B01A22">
        <w:lastRenderedPageBreak/>
        <w:t>Procesado</w:t>
      </w:r>
    </w:p>
    <w:p w:rsidR="002E40E6" w:rsidRPr="00B01A22" w:rsidRDefault="002E40E6">
      <w:r w:rsidRPr="00B01A22">
        <w:t xml:space="preserve">En este apartado se resume brevemente las técnicas utilizadas en el procesado de las muestras, con la idea de proporcionar al usuario una idea acerca de cómo se obtuvo la información aportada. </w:t>
      </w:r>
    </w:p>
    <w:p w:rsidR="001260B2" w:rsidRPr="00B01A22" w:rsidRDefault="001260B2" w:rsidP="009A4CF1">
      <w:pPr>
        <w:pStyle w:val="Ttulo3"/>
        <w:numPr>
          <w:ilvl w:val="1"/>
          <w:numId w:val="1"/>
        </w:numPr>
      </w:pPr>
      <w:bookmarkStart w:id="2" w:name="_Ref120704675"/>
      <w:r w:rsidRPr="00B01A22">
        <w:t>Oxígeno</w:t>
      </w:r>
      <w:bookmarkEnd w:id="2"/>
    </w:p>
    <w:p w:rsidR="009A4CF1" w:rsidRPr="00B01A22" w:rsidRDefault="009A4CF1" w:rsidP="008B2DAD">
      <w:pPr>
        <w:rPr>
          <w:rFonts w:ascii="Calibri" w:eastAsia="Times New Roman" w:hAnsi="Calibri" w:cs="Calibri"/>
          <w:color w:val="000000"/>
          <w:lang w:eastAsia="es-ES"/>
        </w:rPr>
      </w:pPr>
      <w:r w:rsidRPr="00B01A22">
        <w:t xml:space="preserve">La concentración de oxígeno en una muestra se determina siguiendo el método </w:t>
      </w:r>
      <w:proofErr w:type="spellStart"/>
      <w:r w:rsidRPr="00B01A22">
        <w:t>Winkler</w:t>
      </w:r>
      <w:proofErr w:type="spellEnd"/>
      <w:r w:rsidR="00444A55" w:rsidRPr="00B01A22">
        <w:t xml:space="preserve">, realizando una valoración </w:t>
      </w:r>
      <w:proofErr w:type="spellStart"/>
      <w:r w:rsidR="00444A55" w:rsidRPr="00B01A22">
        <w:t>potenciométrica</w:t>
      </w:r>
      <w:proofErr w:type="spellEnd"/>
      <w:r w:rsidR="00444A55" w:rsidRPr="00B01A22">
        <w:t xml:space="preserve"> con electrodo de platino. El principio químico de la metodología está en descrito en </w:t>
      </w:r>
      <w:proofErr w:type="spellStart"/>
      <w:r w:rsidR="00444A55" w:rsidRPr="00B01A22">
        <w:t>Culberson</w:t>
      </w:r>
      <w:proofErr w:type="spellEnd"/>
      <w:r w:rsidR="00444A55" w:rsidRPr="00B01A22">
        <w:t xml:space="preserve"> (1991). Se utiliza un sistema de valoración </w:t>
      </w:r>
      <w:proofErr w:type="spellStart"/>
      <w:r w:rsidR="00444A55" w:rsidRPr="00B01A22">
        <w:t>Metrohm</w:t>
      </w:r>
      <w:proofErr w:type="spellEnd"/>
      <w:r w:rsidR="00444A55" w:rsidRPr="00B01A22">
        <w:t xml:space="preserve"> </w:t>
      </w:r>
      <w:proofErr w:type="spellStart"/>
      <w:r w:rsidR="00444A55" w:rsidRPr="00B01A22">
        <w:t>Titrando</w:t>
      </w:r>
      <w:proofErr w:type="spellEnd"/>
      <w:r w:rsidR="00444A55" w:rsidRPr="00B01A22">
        <w:t xml:space="preserve">, con una </w:t>
      </w:r>
      <w:proofErr w:type="spellStart"/>
      <w:r w:rsidR="00444A55" w:rsidRPr="00B01A22">
        <w:t>buerta</w:t>
      </w:r>
      <w:proofErr w:type="spellEnd"/>
      <w:r w:rsidR="00444A55" w:rsidRPr="00B01A22">
        <w:t xml:space="preserve"> de 5 </w:t>
      </w:r>
      <w:proofErr w:type="spellStart"/>
      <w:r w:rsidR="00444A55" w:rsidRPr="00B01A22">
        <w:t>mL</w:t>
      </w:r>
      <w:proofErr w:type="spellEnd"/>
      <w:r w:rsidR="00444A55" w:rsidRPr="00B01A22">
        <w:t xml:space="preserve"> acoplada a un dosificador </w:t>
      </w:r>
      <w:proofErr w:type="spellStart"/>
      <w:r w:rsidR="00444A55" w:rsidRPr="00B01A22">
        <w:rPr>
          <w:rFonts w:ascii="Calibri" w:eastAsia="Times New Roman" w:hAnsi="Calibri" w:cs="Calibri"/>
          <w:color w:val="000000"/>
          <w:lang w:eastAsia="es-ES"/>
        </w:rPr>
        <w:t>Metrohm</w:t>
      </w:r>
      <w:proofErr w:type="spellEnd"/>
      <w:r w:rsidR="00444A55" w:rsidRPr="00B01A22">
        <w:rPr>
          <w:rFonts w:ascii="Calibri" w:eastAsia="Times New Roman" w:hAnsi="Calibri" w:cs="Calibri"/>
          <w:color w:val="000000"/>
          <w:lang w:eastAsia="es-ES"/>
        </w:rPr>
        <w:t xml:space="preserve"> </w:t>
      </w:r>
      <w:proofErr w:type="spellStart"/>
      <w:r w:rsidR="00444A55" w:rsidRPr="00B01A22">
        <w:rPr>
          <w:rFonts w:ascii="Calibri" w:eastAsia="Times New Roman" w:hAnsi="Calibri" w:cs="Calibri"/>
          <w:color w:val="000000"/>
          <w:lang w:eastAsia="es-ES"/>
        </w:rPr>
        <w:t>Dosino</w:t>
      </w:r>
      <w:proofErr w:type="spellEnd"/>
      <w:r w:rsidR="00444A55" w:rsidRPr="00B01A22">
        <w:rPr>
          <w:rFonts w:ascii="Calibri" w:eastAsia="Times New Roman" w:hAnsi="Calibri" w:cs="Calibri"/>
          <w:color w:val="000000"/>
          <w:lang w:eastAsia="es-ES"/>
        </w:rPr>
        <w:t xml:space="preserve">. Los blancos se determinan siguiendo </w:t>
      </w:r>
      <w:proofErr w:type="spellStart"/>
      <w:r w:rsidR="00444A55" w:rsidRPr="00B01A22">
        <w:rPr>
          <w:rFonts w:ascii="Calibri" w:eastAsia="Times New Roman" w:hAnsi="Calibri" w:cs="Calibri"/>
          <w:color w:val="000000"/>
          <w:lang w:eastAsia="es-ES"/>
        </w:rPr>
        <w:t>Langdon</w:t>
      </w:r>
      <w:proofErr w:type="spellEnd"/>
      <w:r w:rsidR="00444A55" w:rsidRPr="00B01A22">
        <w:rPr>
          <w:rFonts w:ascii="Calibri" w:eastAsia="Times New Roman" w:hAnsi="Calibri" w:cs="Calibri"/>
          <w:color w:val="000000"/>
          <w:lang w:eastAsia="es-ES"/>
        </w:rPr>
        <w:t xml:space="preserve"> (2010). La precisión alcanzada es ±1 µmol/kg.</w:t>
      </w:r>
    </w:p>
    <w:p w:rsidR="00B01A22" w:rsidRPr="00B01A22" w:rsidRDefault="00B01A22" w:rsidP="008B2DAD">
      <w:pPr>
        <w:rPr>
          <w:rFonts w:ascii="Calibri" w:eastAsia="Times New Roman" w:hAnsi="Calibri" w:cs="Calibri"/>
          <w:color w:val="000000"/>
          <w:lang w:eastAsia="es-ES"/>
        </w:rPr>
      </w:pPr>
    </w:p>
    <w:p w:rsidR="00444A55" w:rsidRPr="00B01A22" w:rsidRDefault="00444A55" w:rsidP="00444A55">
      <w:pPr>
        <w:pStyle w:val="Ttulo3"/>
        <w:numPr>
          <w:ilvl w:val="1"/>
          <w:numId w:val="1"/>
        </w:numPr>
      </w:pPr>
      <w:r w:rsidRPr="00B01A22">
        <w:t>Nutrientes inorgánicos</w:t>
      </w:r>
    </w:p>
    <w:p w:rsidR="000C64E8" w:rsidRPr="00B01A22" w:rsidRDefault="00444A55" w:rsidP="00444A55">
      <w:pPr>
        <w:rPr>
          <w:rFonts w:ascii="Calibri" w:eastAsia="Times New Roman" w:hAnsi="Calibri" w:cs="Calibri"/>
          <w:color w:val="000000"/>
          <w:lang w:eastAsia="es-ES"/>
        </w:rPr>
      </w:pPr>
      <w:r w:rsidRPr="00B01A22">
        <w:t>Los nutrientes inorgánicos se determinan mediante Analizador de Flujo Segmentado</w:t>
      </w:r>
      <w:r w:rsidR="000552C7" w:rsidRPr="00B01A22">
        <w:t xml:space="preserve">, modelo SEAL </w:t>
      </w:r>
      <w:proofErr w:type="spellStart"/>
      <w:r w:rsidR="000552C7" w:rsidRPr="00B01A22">
        <w:t>Analytical</w:t>
      </w:r>
      <w:proofErr w:type="spellEnd"/>
      <w:r w:rsidR="000552C7" w:rsidRPr="00B01A22">
        <w:t xml:space="preserve"> </w:t>
      </w:r>
      <w:proofErr w:type="spellStart"/>
      <w:r w:rsidR="000552C7" w:rsidRPr="00B01A22">
        <w:t>QuAAtro</w:t>
      </w:r>
      <w:proofErr w:type="spellEnd"/>
      <w:r w:rsidR="000552C7" w:rsidRPr="00B01A22">
        <w:t>, empleando métodos colorimétricos (</w:t>
      </w:r>
      <w:proofErr w:type="spellStart"/>
      <w:r w:rsidR="000552C7" w:rsidRPr="001260B2">
        <w:rPr>
          <w:rFonts w:ascii="Calibri" w:eastAsia="Times New Roman" w:hAnsi="Calibri" w:cs="Calibri"/>
          <w:color w:val="000000"/>
          <w:lang w:eastAsia="es-ES"/>
        </w:rPr>
        <w:t>Aminot</w:t>
      </w:r>
      <w:proofErr w:type="spellEnd"/>
      <w:r w:rsidR="000552C7" w:rsidRPr="001260B2">
        <w:rPr>
          <w:rFonts w:ascii="Calibri" w:eastAsia="Times New Roman" w:hAnsi="Calibri" w:cs="Calibri"/>
          <w:color w:val="000000"/>
          <w:lang w:eastAsia="es-ES"/>
        </w:rPr>
        <w:t xml:space="preserve"> &amp; </w:t>
      </w:r>
      <w:proofErr w:type="spellStart"/>
      <w:r w:rsidR="000552C7" w:rsidRPr="001260B2">
        <w:rPr>
          <w:rFonts w:ascii="Calibri" w:eastAsia="Times New Roman" w:hAnsi="Calibri" w:cs="Calibri"/>
          <w:color w:val="000000"/>
          <w:lang w:eastAsia="es-ES"/>
        </w:rPr>
        <w:t>Kérouel</w:t>
      </w:r>
      <w:proofErr w:type="spellEnd"/>
      <w:r w:rsidR="000552C7" w:rsidRPr="001260B2">
        <w:rPr>
          <w:rFonts w:ascii="Calibri" w:eastAsia="Times New Roman" w:hAnsi="Calibri" w:cs="Calibri"/>
          <w:color w:val="000000"/>
          <w:lang w:eastAsia="es-ES"/>
        </w:rPr>
        <w:t>, 2007</w:t>
      </w:r>
      <w:r w:rsidR="000552C7" w:rsidRPr="00B01A22">
        <w:rPr>
          <w:rFonts w:ascii="Calibri" w:eastAsia="Times New Roman" w:hAnsi="Calibri" w:cs="Calibri"/>
          <w:color w:val="000000"/>
          <w:lang w:eastAsia="es-ES"/>
        </w:rPr>
        <w:t xml:space="preserve">, </w:t>
      </w:r>
      <w:proofErr w:type="spellStart"/>
      <w:r w:rsidR="000552C7" w:rsidRPr="001260B2">
        <w:rPr>
          <w:rFonts w:ascii="Calibri" w:eastAsia="Times New Roman" w:hAnsi="Calibri" w:cs="Calibri"/>
          <w:color w:val="000000"/>
          <w:lang w:eastAsia="es-ES"/>
        </w:rPr>
        <w:t>Hydes</w:t>
      </w:r>
      <w:proofErr w:type="spellEnd"/>
      <w:r w:rsidR="000552C7" w:rsidRPr="001260B2">
        <w:rPr>
          <w:rFonts w:ascii="Calibri" w:eastAsia="Times New Roman" w:hAnsi="Calibri" w:cs="Calibri"/>
          <w:color w:val="000000"/>
          <w:lang w:eastAsia="es-ES"/>
        </w:rPr>
        <w:t xml:space="preserve"> et al.</w:t>
      </w:r>
      <w:proofErr w:type="gramStart"/>
      <w:r w:rsidR="000552C7" w:rsidRPr="001260B2">
        <w:rPr>
          <w:rFonts w:ascii="Calibri" w:eastAsia="Times New Roman" w:hAnsi="Calibri" w:cs="Calibri"/>
          <w:color w:val="000000"/>
          <w:lang w:eastAsia="es-ES"/>
        </w:rPr>
        <w:t>,2010</w:t>
      </w:r>
      <w:proofErr w:type="gramEnd"/>
      <w:r w:rsidR="000552C7" w:rsidRPr="001260B2">
        <w:rPr>
          <w:rFonts w:ascii="Calibri" w:eastAsia="Times New Roman" w:hAnsi="Calibri" w:cs="Calibri"/>
          <w:color w:val="000000"/>
          <w:lang w:eastAsia="es-ES"/>
        </w:rPr>
        <w:t xml:space="preserve"> &amp; Becker et al., 2020</w:t>
      </w:r>
      <w:r w:rsidR="000552C7" w:rsidRPr="00B01A22">
        <w:rPr>
          <w:rFonts w:ascii="Calibri" w:eastAsia="Times New Roman" w:hAnsi="Calibri" w:cs="Calibri"/>
          <w:color w:val="000000"/>
          <w:lang w:eastAsia="es-ES"/>
        </w:rPr>
        <w:t xml:space="preserve">). Se utilizan materiales de referencia (RMN) de diferentes concentraciones para controlar la calidad y precisión de los análisis. También se utiliza agua de mar superficial filtrada y envejecida para controlar la calidad </w:t>
      </w:r>
      <w:r w:rsidR="000C64E8" w:rsidRPr="00B01A22">
        <w:rPr>
          <w:rFonts w:ascii="Calibri" w:eastAsia="Times New Roman" w:hAnsi="Calibri" w:cs="Calibri"/>
          <w:color w:val="000000"/>
          <w:lang w:eastAsia="es-ES"/>
        </w:rPr>
        <w:t xml:space="preserve">de muestras con bajas concentraciones de nutrientes. </w:t>
      </w:r>
      <w:r w:rsidR="000552C7" w:rsidRPr="00B01A22">
        <w:rPr>
          <w:rFonts w:ascii="Calibri" w:eastAsia="Times New Roman" w:hAnsi="Calibri" w:cs="Calibri"/>
          <w:color w:val="000000"/>
          <w:lang w:eastAsia="es-ES"/>
        </w:rPr>
        <w:t xml:space="preserve">La precisión </w:t>
      </w:r>
      <w:r w:rsidR="000C64E8" w:rsidRPr="00B01A22">
        <w:rPr>
          <w:rFonts w:ascii="Calibri" w:eastAsia="Times New Roman" w:hAnsi="Calibri" w:cs="Calibri"/>
          <w:color w:val="000000"/>
          <w:lang w:eastAsia="es-ES"/>
        </w:rPr>
        <w:t>media</w:t>
      </w:r>
      <w:r w:rsidR="000552C7" w:rsidRPr="00B01A22">
        <w:rPr>
          <w:rFonts w:ascii="Calibri" w:eastAsia="Times New Roman" w:hAnsi="Calibri" w:cs="Calibri"/>
          <w:color w:val="000000"/>
          <w:lang w:eastAsia="es-ES"/>
        </w:rPr>
        <w:t xml:space="preserve">, en </w:t>
      </w:r>
      <w:r w:rsidR="000C64E8" w:rsidRPr="00B01A22">
        <w:rPr>
          <w:rFonts w:ascii="Calibri" w:eastAsia="Times New Roman" w:hAnsi="Calibri" w:cs="Calibri"/>
          <w:color w:val="000000"/>
          <w:lang w:eastAsia="es-ES"/>
        </w:rPr>
        <w:t>las medidas correspondientes a concentraciones medias y bajas, es ±0.06</w:t>
      </w:r>
      <w:r w:rsidR="000C64E8" w:rsidRPr="001260B2">
        <w:rPr>
          <w:rFonts w:ascii="Calibri" w:eastAsia="Times New Roman" w:hAnsi="Calibri" w:cs="Calibri"/>
          <w:color w:val="000000"/>
          <w:lang w:eastAsia="es-ES"/>
        </w:rPr>
        <w:t xml:space="preserve"> µmol/kg</w:t>
      </w:r>
      <w:r w:rsidR="000C64E8" w:rsidRPr="00B01A22">
        <w:rPr>
          <w:rFonts w:ascii="Calibri" w:eastAsia="Times New Roman" w:hAnsi="Calibri" w:cs="Calibri"/>
          <w:color w:val="000000"/>
          <w:lang w:eastAsia="es-ES"/>
        </w:rPr>
        <w:t xml:space="preserve"> y  ±0.07</w:t>
      </w:r>
      <w:r w:rsidR="000C64E8" w:rsidRPr="001260B2">
        <w:rPr>
          <w:rFonts w:ascii="Calibri" w:eastAsia="Times New Roman" w:hAnsi="Calibri" w:cs="Calibri"/>
          <w:color w:val="000000"/>
          <w:lang w:eastAsia="es-ES"/>
        </w:rPr>
        <w:t xml:space="preserve"> µmol/kg</w:t>
      </w:r>
      <w:r w:rsidR="000C64E8" w:rsidRPr="00B01A22">
        <w:rPr>
          <w:rFonts w:ascii="Calibri" w:eastAsia="Times New Roman" w:hAnsi="Calibri" w:cs="Calibri"/>
          <w:color w:val="000000"/>
          <w:lang w:eastAsia="es-ES"/>
        </w:rPr>
        <w:t xml:space="preserve"> respectivamente. Para valores altos de concentración, la precisión media es de ±0.02</w:t>
      </w:r>
      <w:r w:rsidR="000C64E8" w:rsidRPr="001260B2">
        <w:rPr>
          <w:rFonts w:ascii="Calibri" w:eastAsia="Times New Roman" w:hAnsi="Calibri" w:cs="Calibri"/>
          <w:color w:val="000000"/>
          <w:lang w:eastAsia="es-ES"/>
        </w:rPr>
        <w:t xml:space="preserve"> µmol/kg</w:t>
      </w:r>
      <w:r w:rsidR="000C64E8" w:rsidRPr="00B01A22">
        <w:rPr>
          <w:rFonts w:ascii="Calibri" w:eastAsia="Times New Roman" w:hAnsi="Calibri" w:cs="Calibri"/>
          <w:color w:val="000000"/>
          <w:lang w:eastAsia="es-ES"/>
        </w:rPr>
        <w:t xml:space="preserve">. </w:t>
      </w:r>
    </w:p>
    <w:p w:rsidR="00B01A22" w:rsidRPr="00B01A22" w:rsidRDefault="00B01A22" w:rsidP="00444A55">
      <w:pPr>
        <w:rPr>
          <w:rFonts w:ascii="Calibri" w:eastAsia="Times New Roman" w:hAnsi="Calibri" w:cs="Calibri"/>
          <w:color w:val="000000"/>
          <w:lang w:eastAsia="es-ES"/>
        </w:rPr>
      </w:pPr>
    </w:p>
    <w:p w:rsidR="001260B2" w:rsidRPr="00B01A22" w:rsidRDefault="000C64E8" w:rsidP="000C64E8">
      <w:pPr>
        <w:pStyle w:val="Ttulo3"/>
        <w:numPr>
          <w:ilvl w:val="1"/>
          <w:numId w:val="1"/>
        </w:numPr>
      </w:pPr>
      <w:r w:rsidRPr="00B01A22">
        <w:t>Alcalinidad</w:t>
      </w:r>
    </w:p>
    <w:p w:rsidR="000C64E8" w:rsidRPr="00B01A22" w:rsidRDefault="009400E1" w:rsidP="000C64E8">
      <w:pPr>
        <w:rPr>
          <w:rFonts w:ascii="Calibri" w:eastAsia="Times New Roman" w:hAnsi="Calibri" w:cs="Calibri"/>
          <w:color w:val="000000"/>
          <w:lang w:eastAsia="es-ES"/>
        </w:rPr>
      </w:pPr>
      <w:r w:rsidRPr="00B01A22">
        <w:t xml:space="preserve">La alcalinidad se determina siguiendo la valoración </w:t>
      </w:r>
      <w:proofErr w:type="spellStart"/>
      <w:r w:rsidRPr="00B01A22">
        <w:t>potenciométrica</w:t>
      </w:r>
      <w:proofErr w:type="spellEnd"/>
      <w:r w:rsidRPr="00B01A22">
        <w:t xml:space="preserve"> de doble punto final descrita en Pérez y Fraga (1987) y Pérez et al. (2000). Se utilizan materiales de referencia certificados (CRM) de CO</w:t>
      </w:r>
      <w:r w:rsidRPr="00B01A22">
        <w:rPr>
          <w:vertAlign w:val="subscript"/>
        </w:rPr>
        <w:t>2</w:t>
      </w:r>
      <w:r w:rsidRPr="00B01A22">
        <w:t xml:space="preserve"> para controlar la exactitud de las medidas de alcalinidad. La deriva del sistema se determina mediante medidas regulares de un estándar (agua de superficie). Tanto la precisión como la exactitud de la metodología son </w:t>
      </w:r>
      <w:r w:rsidRPr="00772569">
        <w:rPr>
          <w:rFonts w:ascii="Calibri" w:eastAsia="Times New Roman" w:hAnsi="Calibri" w:cs="Calibri"/>
          <w:color w:val="000000"/>
          <w:lang w:eastAsia="es-ES"/>
        </w:rPr>
        <w:t>±1 µmol/kg</w:t>
      </w:r>
      <w:r w:rsidRPr="00B01A22">
        <w:rPr>
          <w:rFonts w:ascii="Calibri" w:eastAsia="Times New Roman" w:hAnsi="Calibri" w:cs="Calibri"/>
          <w:color w:val="000000"/>
          <w:lang w:eastAsia="es-ES"/>
        </w:rPr>
        <w:t xml:space="preserve">. </w:t>
      </w:r>
    </w:p>
    <w:p w:rsidR="00B01A22" w:rsidRDefault="00B01A22" w:rsidP="000C64E8">
      <w:pPr>
        <w:rPr>
          <w:rFonts w:ascii="Calibri" w:eastAsia="Times New Roman" w:hAnsi="Calibri" w:cs="Calibri"/>
          <w:color w:val="000000"/>
          <w:lang w:eastAsia="es-ES"/>
        </w:rPr>
      </w:pPr>
    </w:p>
    <w:p w:rsidR="009400E1" w:rsidRPr="009400E1" w:rsidRDefault="009400E1" w:rsidP="009400E1">
      <w:pPr>
        <w:pStyle w:val="Ttulo3"/>
        <w:numPr>
          <w:ilvl w:val="1"/>
          <w:numId w:val="1"/>
        </w:numPr>
      </w:pPr>
      <w:bookmarkStart w:id="3" w:name="_Ref120704649"/>
      <w:proofErr w:type="gramStart"/>
      <w:r>
        <w:t>pH</w:t>
      </w:r>
      <w:bookmarkEnd w:id="3"/>
      <w:proofErr w:type="gramEnd"/>
    </w:p>
    <w:p w:rsidR="000C64E8" w:rsidRDefault="009400E1">
      <w:r>
        <w:t>El pH se determina siguiendo dos posibles métodos, resumidos a continuación</w:t>
      </w:r>
    </w:p>
    <w:p w:rsidR="009400E1" w:rsidRDefault="009400E1" w:rsidP="0046417F">
      <w:pPr>
        <w:pStyle w:val="Ttulo4"/>
        <w:numPr>
          <w:ilvl w:val="2"/>
          <w:numId w:val="1"/>
        </w:numPr>
        <w:ind w:left="426" w:firstLine="0"/>
      </w:pPr>
      <w:r>
        <w:t>Método 1</w:t>
      </w:r>
    </w:p>
    <w:p w:rsidR="009400E1" w:rsidRDefault="009400E1" w:rsidP="009400E1">
      <w:pPr>
        <w:rPr>
          <w:b/>
        </w:rPr>
      </w:pPr>
      <w:r>
        <w:t xml:space="preserve">En el método 1  el pH se determina </w:t>
      </w:r>
      <w:r w:rsidR="008B2DAD">
        <w:t xml:space="preserve">en un espectrofotómetro de doble haz </w:t>
      </w:r>
      <w:r w:rsidR="008B2DAD" w:rsidRPr="00772569">
        <w:rPr>
          <w:rFonts w:ascii="Calibri" w:eastAsia="Times New Roman" w:hAnsi="Calibri" w:cs="Calibri"/>
          <w:color w:val="000000"/>
          <w:lang w:eastAsia="es-ES"/>
        </w:rPr>
        <w:t>SHIMADZU UV2600</w:t>
      </w:r>
      <w:r w:rsidR="008B2DAD">
        <w:rPr>
          <w:rFonts w:ascii="Calibri" w:eastAsia="Times New Roman" w:hAnsi="Calibri" w:cs="Calibri"/>
          <w:color w:val="000000"/>
          <w:lang w:eastAsia="es-ES"/>
        </w:rPr>
        <w:t xml:space="preserve">, manteniendo la muestra en </w:t>
      </w:r>
      <w:proofErr w:type="gramStart"/>
      <w:r w:rsidR="008B2DAD">
        <w:rPr>
          <w:rFonts w:ascii="Calibri" w:eastAsia="Times New Roman" w:hAnsi="Calibri" w:cs="Calibri"/>
          <w:color w:val="000000"/>
          <w:lang w:eastAsia="es-ES"/>
        </w:rPr>
        <w:t>c</w:t>
      </w:r>
      <w:r w:rsidR="008B2DAD" w:rsidRPr="008B2DAD">
        <w:rPr>
          <w:rFonts w:ascii="Calibri" w:eastAsia="Times New Roman" w:hAnsi="Calibri" w:cs="Calibri"/>
          <w:color w:val="000000"/>
          <w:lang w:eastAsia="es-ES"/>
        </w:rPr>
        <w:t>ubeta cilíndricas</w:t>
      </w:r>
      <w:proofErr w:type="gramEnd"/>
      <w:r w:rsidR="008B2DAD" w:rsidRPr="008B2DAD">
        <w:rPr>
          <w:rFonts w:ascii="Calibri" w:eastAsia="Times New Roman" w:hAnsi="Calibri" w:cs="Calibri"/>
          <w:color w:val="000000"/>
          <w:lang w:eastAsia="es-ES"/>
        </w:rPr>
        <w:t xml:space="preserve"> de vidrio óptico especial de 10 cm de largo</w:t>
      </w:r>
      <w:r w:rsidR="008B2DAD">
        <w:rPr>
          <w:rFonts w:ascii="Calibri" w:eastAsia="Times New Roman" w:hAnsi="Calibri" w:cs="Calibri"/>
          <w:color w:val="000000"/>
          <w:lang w:eastAsia="es-ES"/>
        </w:rPr>
        <w:t xml:space="preserve"> a 25ºC y presión atmosférica. Se utiliza púrpura m-</w:t>
      </w:r>
      <w:proofErr w:type="spellStart"/>
      <w:r w:rsidR="008B2DAD">
        <w:rPr>
          <w:rFonts w:ascii="Calibri" w:eastAsia="Times New Roman" w:hAnsi="Calibri" w:cs="Calibri"/>
          <w:color w:val="000000"/>
          <w:lang w:eastAsia="es-ES"/>
        </w:rPr>
        <w:t>cresol</w:t>
      </w:r>
      <w:proofErr w:type="spellEnd"/>
      <w:r w:rsidR="008B2DAD">
        <w:rPr>
          <w:rFonts w:ascii="Calibri" w:eastAsia="Times New Roman" w:hAnsi="Calibri" w:cs="Calibri"/>
          <w:color w:val="000000"/>
          <w:lang w:eastAsia="es-ES"/>
        </w:rPr>
        <w:t xml:space="preserve"> no purificado (</w:t>
      </w:r>
      <w:r w:rsidR="008B2DAD" w:rsidRPr="00772569">
        <w:rPr>
          <w:rFonts w:ascii="Calibri" w:eastAsia="Times New Roman" w:hAnsi="Calibri" w:cs="Calibri"/>
          <w:color w:val="000000"/>
          <w:lang w:eastAsia="es-ES"/>
        </w:rPr>
        <w:t xml:space="preserve">2mM Sigma </w:t>
      </w:r>
      <w:proofErr w:type="spellStart"/>
      <w:r w:rsidR="008B2DAD" w:rsidRPr="00772569">
        <w:rPr>
          <w:rFonts w:ascii="Calibri" w:eastAsia="Times New Roman" w:hAnsi="Calibri" w:cs="Calibri"/>
          <w:color w:val="000000"/>
          <w:lang w:eastAsia="es-ES"/>
        </w:rPr>
        <w:t>Aldrich</w:t>
      </w:r>
      <w:proofErr w:type="spellEnd"/>
      <w:r w:rsidR="008B2DAD">
        <w:rPr>
          <w:rFonts w:ascii="Calibri" w:eastAsia="Times New Roman" w:hAnsi="Calibri" w:cs="Calibri"/>
          <w:color w:val="000000"/>
          <w:lang w:eastAsia="es-ES"/>
        </w:rPr>
        <w:t xml:space="preserve">), del que se pipetean 50 </w:t>
      </w:r>
      <w:r w:rsidR="008B2DAD" w:rsidRPr="00772569">
        <w:rPr>
          <w:rFonts w:ascii="Calibri" w:eastAsia="Times New Roman" w:hAnsi="Calibri" w:cs="Calibri"/>
          <w:color w:val="000000"/>
          <w:lang w:eastAsia="es-ES"/>
        </w:rPr>
        <w:t>µL</w:t>
      </w:r>
      <w:r w:rsidR="008B2DAD">
        <w:rPr>
          <w:rFonts w:ascii="Calibri" w:eastAsia="Times New Roman" w:hAnsi="Calibri" w:cs="Calibri"/>
          <w:color w:val="000000"/>
          <w:lang w:eastAsia="es-ES"/>
        </w:rPr>
        <w:t xml:space="preserve"> a la muestra. Los ratios de </w:t>
      </w:r>
      <w:proofErr w:type="spellStart"/>
      <w:r w:rsidR="008B2DAD">
        <w:rPr>
          <w:rFonts w:ascii="Calibri" w:eastAsia="Times New Roman" w:hAnsi="Calibri" w:cs="Calibri"/>
          <w:color w:val="000000"/>
          <w:lang w:eastAsia="es-ES"/>
        </w:rPr>
        <w:t>absorbancia</w:t>
      </w:r>
      <w:proofErr w:type="spellEnd"/>
      <w:r w:rsidR="008B2DAD">
        <w:rPr>
          <w:rFonts w:ascii="Calibri" w:eastAsia="Times New Roman" w:hAnsi="Calibri" w:cs="Calibri"/>
          <w:color w:val="000000"/>
          <w:lang w:eastAsia="es-ES"/>
        </w:rPr>
        <w:t xml:space="preserve"> se convierten a pH utilizando la formulación de </w:t>
      </w:r>
      <w:r w:rsidR="008B2DAD" w:rsidRPr="00772569">
        <w:rPr>
          <w:rFonts w:ascii="Calibri" w:eastAsia="Times New Roman" w:hAnsi="Calibri" w:cs="Calibri"/>
          <w:color w:val="000000"/>
          <w:lang w:eastAsia="es-ES"/>
        </w:rPr>
        <w:t xml:space="preserve">Clayton </w:t>
      </w:r>
      <w:r w:rsidR="008B2DAD">
        <w:rPr>
          <w:rFonts w:ascii="Calibri" w:eastAsia="Times New Roman" w:hAnsi="Calibri" w:cs="Calibri"/>
          <w:color w:val="000000"/>
          <w:lang w:eastAsia="es-ES"/>
        </w:rPr>
        <w:t>y</w:t>
      </w:r>
      <w:r w:rsidR="008B2DAD" w:rsidRPr="00772569">
        <w:rPr>
          <w:rFonts w:ascii="Calibri" w:eastAsia="Times New Roman" w:hAnsi="Calibri" w:cs="Calibri"/>
          <w:color w:val="000000"/>
          <w:lang w:eastAsia="es-ES"/>
        </w:rPr>
        <w:t xml:space="preserve"> </w:t>
      </w:r>
      <w:proofErr w:type="spellStart"/>
      <w:r w:rsidR="008B2DAD" w:rsidRPr="00772569">
        <w:rPr>
          <w:rFonts w:ascii="Calibri" w:eastAsia="Times New Roman" w:hAnsi="Calibri" w:cs="Calibri"/>
          <w:color w:val="000000"/>
          <w:lang w:eastAsia="es-ES"/>
        </w:rPr>
        <w:t>Byrne</w:t>
      </w:r>
      <w:proofErr w:type="spellEnd"/>
      <w:r w:rsidR="008B2DAD" w:rsidRPr="00772569">
        <w:rPr>
          <w:rFonts w:ascii="Calibri" w:eastAsia="Times New Roman" w:hAnsi="Calibri" w:cs="Calibri"/>
          <w:color w:val="000000"/>
          <w:lang w:eastAsia="es-ES"/>
        </w:rPr>
        <w:t xml:space="preserve"> (1993</w:t>
      </w:r>
      <w:r w:rsidR="008B2DAD">
        <w:rPr>
          <w:rFonts w:ascii="Calibri" w:eastAsia="Times New Roman" w:hAnsi="Calibri" w:cs="Calibri"/>
          <w:color w:val="000000"/>
          <w:lang w:eastAsia="es-ES"/>
        </w:rPr>
        <w:t>).</w:t>
      </w:r>
      <w:r w:rsidR="0046417F">
        <w:rPr>
          <w:rFonts w:ascii="Calibri" w:eastAsia="Times New Roman" w:hAnsi="Calibri" w:cs="Calibri"/>
          <w:color w:val="000000"/>
          <w:lang w:eastAsia="es-ES"/>
        </w:rPr>
        <w:t xml:space="preserve"> </w:t>
      </w:r>
      <w:r w:rsidR="0046417F" w:rsidRPr="0046417F">
        <w:rPr>
          <w:rFonts w:ascii="Calibri" w:eastAsia="Times New Roman" w:hAnsi="Calibri" w:cs="Calibri"/>
          <w:color w:val="000000"/>
          <w:lang w:eastAsia="es-ES"/>
        </w:rPr>
        <w:t xml:space="preserve">La </w:t>
      </w:r>
      <w:r w:rsidR="0046417F">
        <w:rPr>
          <w:rFonts w:ascii="Calibri" w:eastAsia="Times New Roman" w:hAnsi="Calibri" w:cs="Calibri"/>
          <w:color w:val="000000"/>
          <w:lang w:eastAsia="es-ES"/>
        </w:rPr>
        <w:t xml:space="preserve">precisión y exactitud </w:t>
      </w:r>
      <w:r w:rsidR="0046417F" w:rsidRPr="0046417F">
        <w:rPr>
          <w:rFonts w:ascii="Calibri" w:eastAsia="Times New Roman" w:hAnsi="Calibri" w:cs="Calibri"/>
          <w:color w:val="000000"/>
          <w:lang w:eastAsia="es-ES"/>
        </w:rPr>
        <w:t xml:space="preserve">de esta técnica </w:t>
      </w:r>
      <w:r w:rsidR="0046417F">
        <w:rPr>
          <w:rFonts w:ascii="Calibri" w:eastAsia="Times New Roman" w:hAnsi="Calibri" w:cs="Calibri"/>
          <w:color w:val="000000"/>
          <w:lang w:eastAsia="es-ES"/>
        </w:rPr>
        <w:t>son</w:t>
      </w:r>
      <w:r w:rsidR="0046417F" w:rsidRPr="0046417F">
        <w:rPr>
          <w:rFonts w:ascii="Calibri" w:eastAsia="Times New Roman" w:hAnsi="Calibri" w:cs="Calibri"/>
          <w:color w:val="000000"/>
          <w:lang w:eastAsia="es-ES"/>
        </w:rPr>
        <w:t xml:space="preserve"> de </w:t>
      </w:r>
      <w:r w:rsidR="0046417F" w:rsidRPr="00772569">
        <w:rPr>
          <w:rFonts w:ascii="Calibri" w:eastAsia="Times New Roman" w:hAnsi="Calibri" w:cs="Calibri"/>
          <w:color w:val="000000"/>
          <w:lang w:eastAsia="es-ES"/>
        </w:rPr>
        <w:t>± 0.00</w:t>
      </w:r>
      <w:r w:rsidR="0046417F">
        <w:rPr>
          <w:rFonts w:ascii="Calibri" w:eastAsia="Times New Roman" w:hAnsi="Calibri" w:cs="Calibri"/>
          <w:color w:val="000000"/>
          <w:lang w:eastAsia="es-ES"/>
        </w:rPr>
        <w:t>1</w:t>
      </w:r>
      <w:r w:rsidR="0046417F" w:rsidRPr="0046417F">
        <w:rPr>
          <w:rFonts w:ascii="Calibri" w:eastAsia="Times New Roman" w:hAnsi="Calibri" w:cs="Calibri"/>
          <w:color w:val="000000"/>
          <w:lang w:eastAsia="es-ES"/>
        </w:rPr>
        <w:t xml:space="preserve"> </w:t>
      </w:r>
      <w:r w:rsidR="0046417F">
        <w:rPr>
          <w:rFonts w:ascii="Calibri" w:eastAsia="Times New Roman" w:hAnsi="Calibri" w:cs="Calibri"/>
          <w:color w:val="000000"/>
          <w:lang w:eastAsia="es-ES"/>
        </w:rPr>
        <w:t xml:space="preserve">y </w:t>
      </w:r>
      <w:r w:rsidR="0046417F" w:rsidRPr="00772569">
        <w:rPr>
          <w:rFonts w:ascii="Calibri" w:eastAsia="Times New Roman" w:hAnsi="Calibri" w:cs="Calibri"/>
          <w:color w:val="000000"/>
          <w:lang w:eastAsia="es-ES"/>
        </w:rPr>
        <w:t>± 0.00</w:t>
      </w:r>
      <w:r w:rsidR="0046417F">
        <w:rPr>
          <w:rFonts w:ascii="Calibri" w:eastAsia="Times New Roman" w:hAnsi="Calibri" w:cs="Calibri"/>
          <w:color w:val="000000"/>
          <w:lang w:eastAsia="es-ES"/>
        </w:rPr>
        <w:t>5 unidades de</w:t>
      </w:r>
      <w:r w:rsidR="0046417F" w:rsidRPr="00772569">
        <w:rPr>
          <w:rFonts w:ascii="Calibri" w:eastAsia="Times New Roman" w:hAnsi="Calibri" w:cs="Calibri"/>
          <w:color w:val="000000"/>
          <w:lang w:eastAsia="es-ES"/>
        </w:rPr>
        <w:t xml:space="preserve"> pH</w:t>
      </w:r>
      <w:r w:rsidR="0046417F">
        <w:rPr>
          <w:rFonts w:ascii="Calibri" w:eastAsia="Times New Roman" w:hAnsi="Calibri" w:cs="Calibri"/>
          <w:color w:val="000000"/>
          <w:lang w:eastAsia="es-ES"/>
        </w:rPr>
        <w:t xml:space="preserve"> respectivamente</w:t>
      </w:r>
      <w:r w:rsidR="008B2DAD">
        <w:rPr>
          <w:rFonts w:ascii="Calibri" w:eastAsia="Times New Roman" w:hAnsi="Calibri" w:cs="Calibri"/>
          <w:color w:val="000000"/>
          <w:lang w:eastAsia="es-ES"/>
        </w:rPr>
        <w:t xml:space="preserve"> </w:t>
      </w:r>
      <w:r w:rsidR="0046417F">
        <w:rPr>
          <w:rFonts w:ascii="Calibri" w:eastAsia="Times New Roman" w:hAnsi="Calibri" w:cs="Calibri"/>
          <w:color w:val="000000"/>
          <w:lang w:eastAsia="es-ES"/>
        </w:rPr>
        <w:t>En los datos facilitados, e</w:t>
      </w:r>
      <w:r w:rsidR="008B2DAD">
        <w:rPr>
          <w:rFonts w:ascii="Calibri" w:eastAsia="Times New Roman" w:hAnsi="Calibri" w:cs="Calibri"/>
          <w:color w:val="000000"/>
          <w:lang w:eastAsia="es-ES"/>
        </w:rPr>
        <w:t xml:space="preserve">ste método se identifica con el valor de </w:t>
      </w:r>
      <w:proofErr w:type="spellStart"/>
      <w:r w:rsidR="008B2DAD" w:rsidRPr="008B2DAD">
        <w:rPr>
          <w:b/>
        </w:rPr>
        <w:t>ph_metodo</w:t>
      </w:r>
      <w:proofErr w:type="spellEnd"/>
      <w:r w:rsidR="008B2DAD" w:rsidRPr="008B2DAD">
        <w:rPr>
          <w:b/>
        </w:rPr>
        <w:t>=1</w:t>
      </w:r>
      <w:r w:rsidR="008B2DAD">
        <w:rPr>
          <w:b/>
        </w:rPr>
        <w:t>.</w:t>
      </w:r>
      <w:r w:rsidR="0046417F">
        <w:rPr>
          <w:b/>
        </w:rPr>
        <w:t xml:space="preserve"> </w:t>
      </w:r>
    </w:p>
    <w:p w:rsidR="00B01A22" w:rsidRPr="00B01A22" w:rsidRDefault="00B01A22" w:rsidP="00B01A22">
      <w:pPr>
        <w:pStyle w:val="Ttulo4"/>
        <w:numPr>
          <w:ilvl w:val="2"/>
          <w:numId w:val="1"/>
        </w:numPr>
      </w:pPr>
      <w:r w:rsidRPr="00B01A22">
        <w:lastRenderedPageBreak/>
        <w:t>Método 2.</w:t>
      </w:r>
    </w:p>
    <w:p w:rsidR="00B01A22" w:rsidRDefault="00B01A22" w:rsidP="00B01A22">
      <w:pPr>
        <w:rPr>
          <w:b/>
        </w:rPr>
      </w:pPr>
      <w:r w:rsidRPr="00B01A22">
        <w:rPr>
          <w:lang w:eastAsia="es-ES"/>
        </w:rPr>
        <w:t xml:space="preserve">En el método 2 el pH se determina utilizando un </w:t>
      </w:r>
      <w:proofErr w:type="spellStart"/>
      <w:r w:rsidRPr="00772569">
        <w:rPr>
          <w:rFonts w:ascii="Calibri" w:eastAsia="Times New Roman" w:hAnsi="Calibri" w:cs="Calibri"/>
          <w:color w:val="000000"/>
          <w:lang w:eastAsia="es-ES"/>
        </w:rPr>
        <w:t>Autonomous</w:t>
      </w:r>
      <w:proofErr w:type="spellEnd"/>
      <w:r w:rsidRPr="00772569">
        <w:rPr>
          <w:rFonts w:ascii="Calibri" w:eastAsia="Times New Roman" w:hAnsi="Calibri" w:cs="Calibri"/>
          <w:color w:val="000000"/>
          <w:lang w:eastAsia="es-ES"/>
        </w:rPr>
        <w:t xml:space="preserve"> </w:t>
      </w:r>
      <w:proofErr w:type="spellStart"/>
      <w:r w:rsidRPr="00772569">
        <w:rPr>
          <w:rFonts w:ascii="Calibri" w:eastAsia="Times New Roman" w:hAnsi="Calibri" w:cs="Calibri"/>
          <w:color w:val="000000"/>
          <w:lang w:eastAsia="es-ES"/>
        </w:rPr>
        <w:t>Flow</w:t>
      </w:r>
      <w:proofErr w:type="spellEnd"/>
      <w:r w:rsidRPr="00772569">
        <w:rPr>
          <w:rFonts w:ascii="Calibri" w:eastAsia="Times New Roman" w:hAnsi="Calibri" w:cs="Calibri"/>
          <w:color w:val="000000"/>
          <w:lang w:eastAsia="es-ES"/>
        </w:rPr>
        <w:t xml:space="preserve"> </w:t>
      </w:r>
      <w:proofErr w:type="spellStart"/>
      <w:r w:rsidRPr="00772569">
        <w:rPr>
          <w:rFonts w:ascii="Calibri" w:eastAsia="Times New Roman" w:hAnsi="Calibri" w:cs="Calibri"/>
          <w:color w:val="000000"/>
          <w:lang w:eastAsia="es-ES"/>
        </w:rPr>
        <w:t>Through</w:t>
      </w:r>
      <w:proofErr w:type="spellEnd"/>
      <w:r w:rsidRPr="00772569">
        <w:rPr>
          <w:rFonts w:ascii="Calibri" w:eastAsia="Times New Roman" w:hAnsi="Calibri" w:cs="Calibri"/>
          <w:color w:val="000000"/>
          <w:lang w:eastAsia="es-ES"/>
        </w:rPr>
        <w:t xml:space="preserve"> </w:t>
      </w:r>
      <w:proofErr w:type="spellStart"/>
      <w:r w:rsidRPr="00772569">
        <w:rPr>
          <w:rFonts w:ascii="Calibri" w:eastAsia="Times New Roman" w:hAnsi="Calibri" w:cs="Calibri"/>
          <w:color w:val="000000"/>
          <w:lang w:eastAsia="es-ES"/>
        </w:rPr>
        <w:t>Instrument</w:t>
      </w:r>
      <w:proofErr w:type="spellEnd"/>
      <w:r w:rsidRPr="00772569">
        <w:rPr>
          <w:rFonts w:ascii="Calibri" w:eastAsia="Times New Roman" w:hAnsi="Calibri" w:cs="Calibri"/>
          <w:color w:val="000000"/>
          <w:lang w:eastAsia="es-ES"/>
        </w:rPr>
        <w:t xml:space="preserve"> (AFT-pH)</w:t>
      </w:r>
      <w:r w:rsidRPr="00B01A22">
        <w:rPr>
          <w:rFonts w:ascii="Calibri" w:eastAsia="Times New Roman" w:hAnsi="Calibri" w:cs="Calibri"/>
          <w:color w:val="000000"/>
          <w:lang w:eastAsia="es-ES"/>
        </w:rPr>
        <w:t xml:space="preserve">. El AFT </w:t>
      </w:r>
      <w:r>
        <w:rPr>
          <w:rFonts w:ascii="Calibri" w:eastAsia="Times New Roman" w:hAnsi="Calibri" w:cs="Calibri"/>
          <w:color w:val="000000"/>
          <w:lang w:eastAsia="es-ES"/>
        </w:rPr>
        <w:t>utiliza</w:t>
      </w:r>
      <w:r w:rsidRPr="00B01A22">
        <w:rPr>
          <w:rFonts w:ascii="Calibri" w:eastAsia="Times New Roman" w:hAnsi="Calibri" w:cs="Calibri"/>
          <w:color w:val="000000"/>
          <w:lang w:eastAsia="es-ES"/>
        </w:rPr>
        <w:t xml:space="preserve"> un método </w:t>
      </w:r>
      <w:proofErr w:type="spellStart"/>
      <w:r w:rsidRPr="00B01A22">
        <w:rPr>
          <w:rFonts w:ascii="Calibri" w:eastAsia="Times New Roman" w:hAnsi="Calibri" w:cs="Calibri"/>
          <w:color w:val="000000"/>
          <w:lang w:eastAsia="es-ES"/>
        </w:rPr>
        <w:t>acolorimétrico</w:t>
      </w:r>
      <w:proofErr w:type="spellEnd"/>
      <w:r w:rsidRPr="00B01A22">
        <w:rPr>
          <w:rFonts w:ascii="Calibri" w:eastAsia="Times New Roman" w:hAnsi="Calibri" w:cs="Calibri"/>
          <w:color w:val="000000"/>
          <w:lang w:eastAsia="es-ES"/>
        </w:rPr>
        <w:t xml:space="preserve"> basado en la adición de</w:t>
      </w:r>
      <w:r w:rsidRPr="00772569">
        <w:rPr>
          <w:rFonts w:ascii="Calibri" w:eastAsia="Times New Roman" w:hAnsi="Calibri" w:cs="Calibri"/>
          <w:color w:val="000000"/>
          <w:lang w:eastAsia="es-ES"/>
        </w:rPr>
        <w:t> </w:t>
      </w:r>
      <w:r w:rsidRPr="00B01A22">
        <w:rPr>
          <w:rFonts w:ascii="Calibri" w:eastAsia="Times New Roman" w:hAnsi="Calibri" w:cs="Calibri"/>
          <w:color w:val="000000"/>
          <w:lang w:eastAsia="es-ES"/>
        </w:rPr>
        <w:t>púrpura m-</w:t>
      </w:r>
      <w:proofErr w:type="spellStart"/>
      <w:r w:rsidRPr="00B01A22">
        <w:rPr>
          <w:rFonts w:ascii="Calibri" w:eastAsia="Times New Roman" w:hAnsi="Calibri" w:cs="Calibri"/>
          <w:color w:val="000000"/>
          <w:lang w:eastAsia="es-ES"/>
        </w:rPr>
        <w:t>cresol</w:t>
      </w:r>
      <w:proofErr w:type="spellEnd"/>
      <w:r w:rsidRPr="00B01A22">
        <w:rPr>
          <w:rFonts w:ascii="Calibri" w:eastAsia="Times New Roman" w:hAnsi="Calibri" w:cs="Calibri"/>
          <w:color w:val="000000"/>
          <w:lang w:eastAsia="es-ES"/>
        </w:rPr>
        <w:t xml:space="preserve"> purificado, siguiendo la técnica descrita en </w:t>
      </w:r>
      <w:proofErr w:type="spellStart"/>
      <w:r w:rsidRPr="00772569">
        <w:rPr>
          <w:rFonts w:ascii="Calibri" w:eastAsia="Times New Roman" w:hAnsi="Calibri" w:cs="Calibri"/>
          <w:color w:val="000000"/>
          <w:lang w:eastAsia="es-ES"/>
        </w:rPr>
        <w:t>Seidel</w:t>
      </w:r>
      <w:proofErr w:type="spellEnd"/>
      <w:r w:rsidRPr="00772569">
        <w:rPr>
          <w:rFonts w:ascii="Calibri" w:eastAsia="Times New Roman" w:hAnsi="Calibri" w:cs="Calibri"/>
          <w:color w:val="000000"/>
          <w:lang w:eastAsia="es-ES"/>
        </w:rPr>
        <w:t xml:space="preserve"> et al. </w:t>
      </w:r>
      <w:r w:rsidRPr="00B01A22">
        <w:rPr>
          <w:rFonts w:ascii="Calibri" w:eastAsia="Times New Roman" w:hAnsi="Calibri" w:cs="Calibri"/>
          <w:color w:val="000000"/>
          <w:lang w:eastAsia="es-ES"/>
        </w:rPr>
        <w:t>(</w:t>
      </w:r>
      <w:r w:rsidRPr="00772569">
        <w:rPr>
          <w:rFonts w:ascii="Calibri" w:eastAsia="Times New Roman" w:hAnsi="Calibri" w:cs="Calibri"/>
          <w:color w:val="000000"/>
          <w:lang w:eastAsia="es-ES"/>
        </w:rPr>
        <w:t>2008)</w:t>
      </w:r>
      <w:r w:rsidRPr="00B01A22">
        <w:rPr>
          <w:rFonts w:ascii="Calibri" w:eastAsia="Times New Roman" w:hAnsi="Calibri" w:cs="Calibri"/>
          <w:color w:val="000000"/>
          <w:lang w:eastAsia="es-ES"/>
        </w:rPr>
        <w:t xml:space="preserve">. La precisión y exactitud de esta técnica son de </w:t>
      </w:r>
      <w:r w:rsidRPr="00772569">
        <w:rPr>
          <w:rFonts w:ascii="Calibri" w:eastAsia="Times New Roman" w:hAnsi="Calibri" w:cs="Calibri"/>
          <w:color w:val="000000"/>
          <w:lang w:eastAsia="es-ES"/>
        </w:rPr>
        <w:t>± 0.00</w:t>
      </w:r>
      <w:r w:rsidRPr="00B01A22">
        <w:rPr>
          <w:rFonts w:ascii="Calibri" w:eastAsia="Times New Roman" w:hAnsi="Calibri" w:cs="Calibri"/>
          <w:color w:val="000000"/>
          <w:lang w:eastAsia="es-ES"/>
        </w:rPr>
        <w:t xml:space="preserve">3 y </w:t>
      </w:r>
      <w:r w:rsidRPr="00772569">
        <w:rPr>
          <w:rFonts w:ascii="Calibri" w:eastAsia="Times New Roman" w:hAnsi="Calibri" w:cs="Calibri"/>
          <w:color w:val="000000"/>
          <w:lang w:eastAsia="es-ES"/>
        </w:rPr>
        <w:t>± 0.004</w:t>
      </w:r>
      <w:r w:rsidRPr="00B01A22">
        <w:rPr>
          <w:rFonts w:ascii="Calibri" w:eastAsia="Times New Roman" w:hAnsi="Calibri" w:cs="Calibri"/>
          <w:color w:val="000000"/>
          <w:lang w:eastAsia="es-ES"/>
        </w:rPr>
        <w:t xml:space="preserve"> unidades de</w:t>
      </w:r>
      <w:r w:rsidRPr="00772569">
        <w:rPr>
          <w:rFonts w:ascii="Calibri" w:eastAsia="Times New Roman" w:hAnsi="Calibri" w:cs="Calibri"/>
          <w:color w:val="000000"/>
          <w:lang w:eastAsia="es-ES"/>
        </w:rPr>
        <w:t xml:space="preserve"> pH</w:t>
      </w:r>
      <w:r w:rsidRPr="00B01A22">
        <w:rPr>
          <w:rFonts w:ascii="Calibri" w:eastAsia="Times New Roman" w:hAnsi="Calibri" w:cs="Calibri"/>
          <w:color w:val="000000"/>
          <w:lang w:eastAsia="es-ES"/>
        </w:rPr>
        <w:t xml:space="preserve"> respectivamente. En los datos facilitados, este método se identifica con el valor de </w:t>
      </w:r>
      <w:proofErr w:type="spellStart"/>
      <w:r w:rsidRPr="00B01A22">
        <w:rPr>
          <w:b/>
        </w:rPr>
        <w:t>ph_metodo</w:t>
      </w:r>
      <w:proofErr w:type="spellEnd"/>
      <w:r w:rsidRPr="00B01A22">
        <w:rPr>
          <w:b/>
        </w:rPr>
        <w:t>=2.</w:t>
      </w:r>
    </w:p>
    <w:p w:rsidR="00C61F34" w:rsidRPr="00B01A22" w:rsidRDefault="00C61F34" w:rsidP="00B01A22">
      <w:pPr>
        <w:rPr>
          <w:b/>
        </w:rPr>
      </w:pPr>
    </w:p>
    <w:p w:rsidR="00B01A22" w:rsidRDefault="00B01A22" w:rsidP="00B01A22">
      <w:pPr>
        <w:pStyle w:val="Ttulo2"/>
        <w:numPr>
          <w:ilvl w:val="0"/>
          <w:numId w:val="1"/>
        </w:numPr>
      </w:pPr>
      <w:r w:rsidRPr="00B01A22">
        <w:t>Control de calidad</w:t>
      </w:r>
    </w:p>
    <w:p w:rsidR="00C61F34" w:rsidRPr="00C61F34" w:rsidRDefault="00C61F34" w:rsidP="00C61F34"/>
    <w:p w:rsidR="00B01A22" w:rsidRDefault="00B01A22" w:rsidP="00B01A22">
      <w:pPr>
        <w:pStyle w:val="Ttulo3"/>
        <w:numPr>
          <w:ilvl w:val="1"/>
          <w:numId w:val="1"/>
        </w:numPr>
      </w:pPr>
      <w:bookmarkStart w:id="4" w:name="_Ref120704717"/>
      <w:r w:rsidRPr="00B01A22">
        <w:t>Nutrientes inorgánicos</w:t>
      </w:r>
      <w:bookmarkEnd w:id="4"/>
    </w:p>
    <w:p w:rsidR="00EA47B4" w:rsidRDefault="00B01A22" w:rsidP="00B01A22">
      <w:r>
        <w:t xml:space="preserve">Las salidas del </w:t>
      </w:r>
      <w:r w:rsidRPr="00B01A22">
        <w:t>Analizador de Flujo Segmentado</w:t>
      </w:r>
      <w:r>
        <w:t xml:space="preserve"> se procesan aplicando una serie de correcciones</w:t>
      </w:r>
      <w:r w:rsidR="00EA47B4">
        <w:t xml:space="preserve"> para cada variable muestreada (nitrógeno total, nitrito, fosfato y silicato)</w:t>
      </w:r>
      <w:r>
        <w:t xml:space="preserve">. </w:t>
      </w:r>
    </w:p>
    <w:p w:rsidR="00EA47B4" w:rsidRDefault="00B01A22" w:rsidP="00B01A22">
      <w:r>
        <w:t xml:space="preserve">En primer lugar, </w:t>
      </w:r>
      <w:r w:rsidR="00EA47B4">
        <w:t>se aplica una corrección a la línea base (</w:t>
      </w:r>
      <w:proofErr w:type="spellStart"/>
      <w:r w:rsidR="00EA47B4" w:rsidRPr="00EA47B4">
        <w:rPr>
          <w:i/>
        </w:rPr>
        <w:t>baseline</w:t>
      </w:r>
      <w:proofErr w:type="spellEnd"/>
      <w:r w:rsidR="00EA47B4">
        <w:t xml:space="preserve">) de la señal de salida. Esta corrección compensa desajustes en los ceros de referencia a lo largo del análisis. En segundo lugar, se aplica una corrección de </w:t>
      </w:r>
      <w:proofErr w:type="spellStart"/>
      <w:r w:rsidR="00EA47B4" w:rsidRPr="00EA47B4">
        <w:rPr>
          <w:i/>
        </w:rPr>
        <w:t>carryover</w:t>
      </w:r>
      <w:proofErr w:type="spellEnd"/>
      <w:r w:rsidR="00EA47B4">
        <w:t>, para tener en cuenta la posible alteración de una muestra por arrastre de muestras anteriores en el flujo de transporte. Finalmente, se aplica una primera corrección de deriva a partir de referencias (</w:t>
      </w:r>
      <w:proofErr w:type="spellStart"/>
      <w:r w:rsidR="00EA47B4">
        <w:t>RMNs</w:t>
      </w:r>
      <w:proofErr w:type="spellEnd"/>
      <w:r w:rsidR="00EA47B4">
        <w:t xml:space="preserve">) al comienzo al final del análisis de un lote de muestras. Estas tres correcciones se realizan utilizando el propio software de procesado del  </w:t>
      </w:r>
      <w:r w:rsidR="00EA47B4" w:rsidRPr="00B01A22">
        <w:t xml:space="preserve">SEAL </w:t>
      </w:r>
      <w:proofErr w:type="spellStart"/>
      <w:r w:rsidR="00EA47B4" w:rsidRPr="00B01A22">
        <w:t>Analytical</w:t>
      </w:r>
      <w:proofErr w:type="spellEnd"/>
      <w:r w:rsidR="00EA47B4" w:rsidRPr="00B01A22">
        <w:t xml:space="preserve"> </w:t>
      </w:r>
      <w:proofErr w:type="spellStart"/>
      <w:r w:rsidR="00EA47B4" w:rsidRPr="00B01A22">
        <w:t>QuAAtro</w:t>
      </w:r>
      <w:proofErr w:type="spellEnd"/>
      <w:r w:rsidR="00EA47B4">
        <w:t xml:space="preserve">, encontrando una descripción detallada de las formulaciones que utiliza en el manual de usuario del </w:t>
      </w:r>
      <w:proofErr w:type="spellStart"/>
      <w:r w:rsidR="00EA47B4">
        <w:t>autoanalizador</w:t>
      </w:r>
      <w:proofErr w:type="spellEnd"/>
      <w:r w:rsidR="00EA47B4">
        <w:t xml:space="preserve"> (SEAL </w:t>
      </w:r>
      <w:proofErr w:type="spellStart"/>
      <w:r w:rsidR="00EA47B4">
        <w:t>Analytical</w:t>
      </w:r>
      <w:proofErr w:type="spellEnd"/>
      <w:r w:rsidR="00EA47B4">
        <w:t>, 2015). A continuación, se aplica una segunda corrección de deriva a partir de referencias intercaladas antes y después del lot</w:t>
      </w:r>
      <w:r w:rsidR="00B75E6B">
        <w:t xml:space="preserve">e de muestras a analizar. Esta corrección, descrita en </w:t>
      </w:r>
      <w:proofErr w:type="spellStart"/>
      <w:r w:rsidR="00B75E6B">
        <w:t>Hassenmueller</w:t>
      </w:r>
      <w:proofErr w:type="spellEnd"/>
      <w:r w:rsidR="00B75E6B">
        <w:t xml:space="preserve"> (2011), aparece recogida en el paquete </w:t>
      </w:r>
      <w:proofErr w:type="spellStart"/>
      <w:r w:rsidR="00B75E6B">
        <w:t>DriftR</w:t>
      </w:r>
      <w:proofErr w:type="spellEnd"/>
      <w:r w:rsidR="00B75E6B">
        <w:t xml:space="preserve"> del lenguaje estadístico R. </w:t>
      </w:r>
    </w:p>
    <w:p w:rsidR="00B75E6B" w:rsidRDefault="00B75E6B" w:rsidP="00B01A22">
      <w:r>
        <w:t>Una vez aplicadas las correcciones descritas</w:t>
      </w:r>
      <w:r w:rsidR="00C61F34">
        <w:t>, en cada estación</w:t>
      </w:r>
      <w:r>
        <w:t xml:space="preserve"> se representa cada variable frente a la profundidad y la concentración de oxígeno. También se representan las concentraciones de nitrato frente a fosfato, nitrato frente a pH y silicato frente a alcalinidad. A partir de todos estos gráficos se identifican posibles puntos anómalos, asignando en ese caso el índice de calidad correspondiente.</w:t>
      </w:r>
    </w:p>
    <w:p w:rsidR="00B75E6B" w:rsidRDefault="00B75E6B" w:rsidP="00B01A22">
      <w:pPr>
        <w:rPr>
          <w:b/>
        </w:rPr>
      </w:pPr>
      <w:r>
        <w:t xml:space="preserve">Estas cuatro correcciones componen el </w:t>
      </w:r>
      <w:r w:rsidRPr="00B75E6B">
        <w:rPr>
          <w:b/>
        </w:rPr>
        <w:t>control de calidad primario</w:t>
      </w:r>
      <w:r>
        <w:t xml:space="preserve">, que aparece identificado en los datos aportados como </w:t>
      </w:r>
      <w:proofErr w:type="spellStart"/>
      <w:r w:rsidRPr="00B75E6B">
        <w:rPr>
          <w:b/>
        </w:rPr>
        <w:t>cc_nutrientes</w:t>
      </w:r>
      <w:proofErr w:type="spellEnd"/>
      <w:r w:rsidRPr="00B75E6B">
        <w:rPr>
          <w:b/>
        </w:rPr>
        <w:t xml:space="preserve"> = 1</w:t>
      </w:r>
      <w:r>
        <w:rPr>
          <w:b/>
        </w:rPr>
        <w:t>.</w:t>
      </w:r>
    </w:p>
    <w:p w:rsidR="00C61F34" w:rsidRDefault="00B75E6B" w:rsidP="00B01A22">
      <w:r>
        <w:t xml:space="preserve">Aquellos datos que corresponden a estaciones muestreadas de manera repetida a lo largo del tiempo pueden contener un control de calidad secundario. </w:t>
      </w:r>
      <w:r w:rsidR="00C61F34">
        <w:t>En e</w:t>
      </w:r>
      <w:r>
        <w:t>s</w:t>
      </w:r>
      <w:r w:rsidR="00C61F34">
        <w:t xml:space="preserve">te control de calidad adicional, los gráficos de cada estación incorporan los datos de muestreos anteriores, distinguiendo además los correspondientes a estaciones o meses similares. Esta comparación con datos anteriores supone el control de calidad secundario, y aparece identificado en los datos aportados como </w:t>
      </w:r>
      <w:proofErr w:type="spellStart"/>
      <w:r w:rsidR="00C61F34" w:rsidRPr="00B75E6B">
        <w:rPr>
          <w:b/>
        </w:rPr>
        <w:t>cc_nutrientes</w:t>
      </w:r>
      <w:proofErr w:type="spellEnd"/>
      <w:r w:rsidR="00C61F34" w:rsidRPr="00B75E6B">
        <w:rPr>
          <w:b/>
        </w:rPr>
        <w:t xml:space="preserve"> = </w:t>
      </w:r>
      <w:proofErr w:type="gramStart"/>
      <w:r w:rsidR="00C61F34">
        <w:rPr>
          <w:b/>
        </w:rPr>
        <w:t>2.</w:t>
      </w:r>
      <w:r w:rsidR="00C61F34">
        <w:t>,</w:t>
      </w:r>
      <w:proofErr w:type="gramEnd"/>
      <w:r w:rsidR="00C61F34">
        <w:t xml:space="preserve"> </w:t>
      </w:r>
    </w:p>
    <w:p w:rsidR="00B01A22" w:rsidRDefault="00B01A22" w:rsidP="00B01A22"/>
    <w:p w:rsidR="004922CA" w:rsidRPr="00B01A22" w:rsidRDefault="004922CA" w:rsidP="00B01A22"/>
    <w:p w:rsidR="003455D9" w:rsidRDefault="003455D9" w:rsidP="00B01A22">
      <w:pPr>
        <w:pStyle w:val="Ttulo2"/>
        <w:numPr>
          <w:ilvl w:val="0"/>
          <w:numId w:val="1"/>
        </w:numPr>
      </w:pPr>
      <w:r w:rsidRPr="00B01A22">
        <w:lastRenderedPageBreak/>
        <w:t>Referencias</w:t>
      </w:r>
    </w:p>
    <w:p w:rsidR="00C61F34" w:rsidRPr="00C61F34" w:rsidRDefault="00C61F34" w:rsidP="00C61F34"/>
    <w:p w:rsidR="000552C7" w:rsidRPr="000552C7" w:rsidRDefault="000552C7" w:rsidP="004922CA">
      <w:pPr>
        <w:rPr>
          <w:lang w:val="en-US" w:eastAsia="es-ES"/>
        </w:rPr>
      </w:pPr>
      <w:proofErr w:type="spellStart"/>
      <w:r w:rsidRPr="000552C7">
        <w:rPr>
          <w:lang w:val="en-US" w:eastAsia="es-ES"/>
        </w:rPr>
        <w:t>Aminot</w:t>
      </w:r>
      <w:proofErr w:type="spellEnd"/>
      <w:r w:rsidRPr="000552C7">
        <w:rPr>
          <w:lang w:val="en-US" w:eastAsia="es-ES"/>
        </w:rPr>
        <w:t xml:space="preserve">, </w:t>
      </w:r>
      <w:r w:rsidR="004922CA">
        <w:rPr>
          <w:lang w:val="en-US" w:eastAsia="es-ES"/>
        </w:rPr>
        <w:t xml:space="preserve">A., </w:t>
      </w:r>
      <w:proofErr w:type="spellStart"/>
      <w:r w:rsidRPr="000552C7">
        <w:rPr>
          <w:lang w:val="en-US" w:eastAsia="es-ES"/>
        </w:rPr>
        <w:t>Kérouel</w:t>
      </w:r>
      <w:proofErr w:type="spellEnd"/>
      <w:r w:rsidR="004922CA">
        <w:rPr>
          <w:lang w:val="en-US" w:eastAsia="es-ES"/>
        </w:rPr>
        <w:t>, R.</w:t>
      </w:r>
      <w:r w:rsidRPr="000552C7">
        <w:rPr>
          <w:lang w:val="en-US" w:eastAsia="es-ES"/>
        </w:rPr>
        <w:t xml:space="preserve"> (2007). </w:t>
      </w:r>
      <w:proofErr w:type="gramStart"/>
      <w:r w:rsidRPr="000552C7">
        <w:rPr>
          <w:lang w:val="en-US" w:eastAsia="es-ES"/>
        </w:rPr>
        <w:t xml:space="preserve">Dosage </w:t>
      </w:r>
      <w:proofErr w:type="spellStart"/>
      <w:r w:rsidRPr="000552C7">
        <w:rPr>
          <w:lang w:val="en-US" w:eastAsia="es-ES"/>
        </w:rPr>
        <w:t>automatique</w:t>
      </w:r>
      <w:proofErr w:type="spellEnd"/>
      <w:r w:rsidRPr="000552C7">
        <w:rPr>
          <w:lang w:val="en-US" w:eastAsia="es-ES"/>
        </w:rPr>
        <w:t xml:space="preserve"> des nutriments </w:t>
      </w:r>
      <w:proofErr w:type="spellStart"/>
      <w:r w:rsidRPr="000552C7">
        <w:rPr>
          <w:lang w:val="en-US" w:eastAsia="es-ES"/>
        </w:rPr>
        <w:t>dans</w:t>
      </w:r>
      <w:proofErr w:type="spellEnd"/>
      <w:r w:rsidRPr="000552C7">
        <w:rPr>
          <w:lang w:val="en-US" w:eastAsia="es-ES"/>
        </w:rPr>
        <w:t xml:space="preserve"> les </w:t>
      </w:r>
      <w:proofErr w:type="spellStart"/>
      <w:r w:rsidRPr="000552C7">
        <w:rPr>
          <w:lang w:val="en-US" w:eastAsia="es-ES"/>
        </w:rPr>
        <w:t>eaux</w:t>
      </w:r>
      <w:proofErr w:type="spellEnd"/>
      <w:r w:rsidRPr="000552C7">
        <w:rPr>
          <w:lang w:val="en-US" w:eastAsia="es-ES"/>
        </w:rPr>
        <w:t xml:space="preserve"> marines.</w:t>
      </w:r>
      <w:proofErr w:type="gramEnd"/>
      <w:r w:rsidRPr="000552C7">
        <w:rPr>
          <w:lang w:val="en-US" w:eastAsia="es-ES"/>
        </w:rPr>
        <w:t xml:space="preserve"> 188p. </w:t>
      </w:r>
      <w:proofErr w:type="spellStart"/>
      <w:r w:rsidRPr="004922CA">
        <w:rPr>
          <w:i/>
          <w:lang w:val="en-US" w:eastAsia="es-ES"/>
        </w:rPr>
        <w:t>Methodes</w:t>
      </w:r>
      <w:proofErr w:type="spellEnd"/>
      <w:r w:rsidRPr="004922CA">
        <w:rPr>
          <w:i/>
          <w:lang w:val="en-US" w:eastAsia="es-ES"/>
        </w:rPr>
        <w:t xml:space="preserve"> </w:t>
      </w:r>
      <w:proofErr w:type="spellStart"/>
      <w:r w:rsidRPr="004922CA">
        <w:rPr>
          <w:i/>
          <w:lang w:val="en-US" w:eastAsia="es-ES"/>
        </w:rPr>
        <w:t>d’analyse</w:t>
      </w:r>
      <w:proofErr w:type="spellEnd"/>
      <w:r w:rsidRPr="004922CA">
        <w:rPr>
          <w:i/>
          <w:lang w:val="en-US" w:eastAsia="es-ES"/>
        </w:rPr>
        <w:t xml:space="preserve"> en milieu </w:t>
      </w:r>
      <w:proofErr w:type="spellStart"/>
      <w:proofErr w:type="gramStart"/>
      <w:r w:rsidRPr="004922CA">
        <w:rPr>
          <w:i/>
          <w:lang w:val="en-US" w:eastAsia="es-ES"/>
        </w:rPr>
        <w:t>marin</w:t>
      </w:r>
      <w:proofErr w:type="spellEnd"/>
      <w:proofErr w:type="gramEnd"/>
      <w:r w:rsidRPr="000552C7">
        <w:rPr>
          <w:lang w:val="en-US" w:eastAsia="es-ES"/>
        </w:rPr>
        <w:t xml:space="preserve">. </w:t>
      </w:r>
      <w:proofErr w:type="spellStart"/>
      <w:proofErr w:type="gramStart"/>
      <w:r w:rsidRPr="000552C7">
        <w:rPr>
          <w:lang w:val="en-US" w:eastAsia="es-ES"/>
        </w:rPr>
        <w:t>Ifremer</w:t>
      </w:r>
      <w:proofErr w:type="spellEnd"/>
      <w:r w:rsidR="004922CA">
        <w:rPr>
          <w:lang w:val="en-US" w:eastAsia="es-ES"/>
        </w:rPr>
        <w:t xml:space="preserve"> (2</w:t>
      </w:r>
      <w:r w:rsidRPr="000552C7">
        <w:rPr>
          <w:lang w:val="en-US" w:eastAsia="es-ES"/>
        </w:rPr>
        <w:t>5</w:t>
      </w:r>
      <w:r w:rsidR="004922CA">
        <w:rPr>
          <w:lang w:val="en-US" w:eastAsia="es-ES"/>
        </w:rPr>
        <w:t>)</w:t>
      </w:r>
      <w:r w:rsidRPr="000552C7">
        <w:rPr>
          <w:lang w:val="en-US" w:eastAsia="es-ES"/>
        </w:rPr>
        <w:t xml:space="preserve"> Quae.</w:t>
      </w:r>
      <w:proofErr w:type="gramEnd"/>
      <w:r w:rsidRPr="000552C7">
        <w:rPr>
          <w:lang w:val="en-US" w:eastAsia="es-ES"/>
        </w:rPr>
        <w:t xml:space="preserve">  </w:t>
      </w:r>
    </w:p>
    <w:p w:rsidR="000552C7" w:rsidRDefault="000552C7" w:rsidP="004922CA">
      <w:pPr>
        <w:rPr>
          <w:lang w:val="en-US" w:eastAsia="es-ES"/>
        </w:rPr>
      </w:pPr>
      <w:proofErr w:type="gramStart"/>
      <w:r w:rsidRPr="000552C7">
        <w:rPr>
          <w:lang w:val="en-US" w:eastAsia="es-ES"/>
        </w:rPr>
        <w:t>Becker, S</w:t>
      </w:r>
      <w:r w:rsidR="004922CA">
        <w:rPr>
          <w:lang w:val="en-US" w:eastAsia="es-ES"/>
        </w:rPr>
        <w:t xml:space="preserve">., </w:t>
      </w:r>
      <w:r w:rsidRPr="000552C7">
        <w:rPr>
          <w:lang w:val="en-US" w:eastAsia="es-ES"/>
        </w:rPr>
        <w:t>Aoyama, M.</w:t>
      </w:r>
      <w:r w:rsidR="004922CA">
        <w:rPr>
          <w:lang w:val="en-US" w:eastAsia="es-ES"/>
        </w:rPr>
        <w:t>,</w:t>
      </w:r>
      <w:r w:rsidRPr="000552C7">
        <w:rPr>
          <w:lang w:val="en-US" w:eastAsia="es-ES"/>
        </w:rPr>
        <w:t xml:space="preserve"> Woodward, E.M.S.</w:t>
      </w:r>
      <w:r w:rsidR="004922CA">
        <w:rPr>
          <w:lang w:val="en-US" w:eastAsia="es-ES"/>
        </w:rPr>
        <w:t xml:space="preserve">, </w:t>
      </w:r>
      <w:r w:rsidRPr="000552C7">
        <w:rPr>
          <w:lang w:val="en-US" w:eastAsia="es-ES"/>
        </w:rPr>
        <w:t>Bakker, K.</w:t>
      </w:r>
      <w:r w:rsidR="004922CA">
        <w:rPr>
          <w:lang w:val="en-US" w:eastAsia="es-ES"/>
        </w:rPr>
        <w:t xml:space="preserve">, </w:t>
      </w:r>
      <w:proofErr w:type="spellStart"/>
      <w:r w:rsidRPr="000552C7">
        <w:rPr>
          <w:lang w:val="en-US" w:eastAsia="es-ES"/>
        </w:rPr>
        <w:t>Coverly</w:t>
      </w:r>
      <w:proofErr w:type="spellEnd"/>
      <w:r w:rsidRPr="000552C7">
        <w:rPr>
          <w:lang w:val="en-US" w:eastAsia="es-ES"/>
        </w:rPr>
        <w:t>.</w:t>
      </w:r>
      <w:proofErr w:type="gramEnd"/>
      <w:r w:rsidRPr="000552C7">
        <w:rPr>
          <w:lang w:val="en-US" w:eastAsia="es-ES"/>
        </w:rPr>
        <w:t xml:space="preserve"> </w:t>
      </w:r>
      <w:proofErr w:type="gramStart"/>
      <w:r w:rsidRPr="000552C7">
        <w:rPr>
          <w:lang w:val="en-US" w:eastAsia="es-ES"/>
        </w:rPr>
        <w:t>S.</w:t>
      </w:r>
      <w:r w:rsidR="004922CA">
        <w:rPr>
          <w:lang w:val="en-US" w:eastAsia="es-ES"/>
        </w:rPr>
        <w:t xml:space="preserve">, Mahaffey, C., </w:t>
      </w:r>
      <w:proofErr w:type="spellStart"/>
      <w:r w:rsidRPr="000552C7">
        <w:rPr>
          <w:lang w:val="en-US" w:eastAsia="es-ES"/>
        </w:rPr>
        <w:t>Tanhua</w:t>
      </w:r>
      <w:proofErr w:type="spellEnd"/>
      <w:r w:rsidRPr="000552C7">
        <w:rPr>
          <w:lang w:val="en-US" w:eastAsia="es-ES"/>
        </w:rPr>
        <w:t xml:space="preserve">, T. (2019) GO-SHIP Repeat </w:t>
      </w:r>
      <w:proofErr w:type="spellStart"/>
      <w:r w:rsidRPr="000552C7">
        <w:rPr>
          <w:lang w:val="en-US" w:eastAsia="es-ES"/>
        </w:rPr>
        <w:t>Hydrography</w:t>
      </w:r>
      <w:proofErr w:type="spellEnd"/>
      <w:r w:rsidRPr="000552C7">
        <w:rPr>
          <w:lang w:val="en-US" w:eastAsia="es-ES"/>
        </w:rPr>
        <w:t xml:space="preserve"> Nutrient Manual: The precise and accurate determination of dissolved inorganic nutrients in seawater, using Continuous Flow Analysis </w:t>
      </w:r>
      <w:proofErr w:type="spellStart"/>
      <w:r w:rsidRPr="000552C7">
        <w:rPr>
          <w:lang w:val="en-US" w:eastAsia="es-ES"/>
        </w:rPr>
        <w:t>methods.</w:t>
      </w:r>
      <w:r w:rsidRPr="004922CA">
        <w:rPr>
          <w:i/>
          <w:lang w:val="en-US" w:eastAsia="es-ES"/>
        </w:rPr>
        <w:t>GO</w:t>
      </w:r>
      <w:proofErr w:type="spellEnd"/>
      <w:r w:rsidRPr="004922CA">
        <w:rPr>
          <w:i/>
          <w:lang w:val="en-US" w:eastAsia="es-ES"/>
        </w:rPr>
        <w:t xml:space="preserve">-SHIP Repeat </w:t>
      </w:r>
      <w:proofErr w:type="spellStart"/>
      <w:r w:rsidRPr="004922CA">
        <w:rPr>
          <w:i/>
          <w:lang w:val="en-US" w:eastAsia="es-ES"/>
        </w:rPr>
        <w:t>Hydrography</w:t>
      </w:r>
      <w:proofErr w:type="spellEnd"/>
      <w:r w:rsidRPr="004922CA">
        <w:rPr>
          <w:i/>
          <w:lang w:val="en-US" w:eastAsia="es-ES"/>
        </w:rPr>
        <w:t xml:space="preserve"> Manual: A Collection of Expert Reports and Guidelines</w:t>
      </w:r>
      <w:r w:rsidRPr="000552C7">
        <w:rPr>
          <w:lang w:val="en-US" w:eastAsia="es-ES"/>
        </w:rPr>
        <w:t>.</w:t>
      </w:r>
      <w:proofErr w:type="gramEnd"/>
      <w:r w:rsidRPr="000552C7">
        <w:rPr>
          <w:lang w:val="en-US" w:eastAsia="es-ES"/>
        </w:rPr>
        <w:t xml:space="preserve"> </w:t>
      </w:r>
    </w:p>
    <w:p w:rsidR="008B2DAD" w:rsidRPr="008B2DAD" w:rsidRDefault="008B2DAD" w:rsidP="004922CA">
      <w:pPr>
        <w:rPr>
          <w:lang w:eastAsia="es-ES"/>
        </w:rPr>
      </w:pPr>
      <w:r w:rsidRPr="008B2DAD">
        <w:rPr>
          <w:lang w:val="en-US" w:eastAsia="es-ES"/>
        </w:rPr>
        <w:t>Clayton, T.D.</w:t>
      </w:r>
      <w:r w:rsidR="004922CA">
        <w:rPr>
          <w:lang w:val="en-US" w:eastAsia="es-ES"/>
        </w:rPr>
        <w:t>, B</w:t>
      </w:r>
      <w:r w:rsidRPr="008B2DAD">
        <w:rPr>
          <w:lang w:val="en-US" w:eastAsia="es-ES"/>
        </w:rPr>
        <w:t>yrne, R.H.</w:t>
      </w:r>
      <w:r w:rsidR="004922CA">
        <w:rPr>
          <w:lang w:val="en-US" w:eastAsia="es-ES"/>
        </w:rPr>
        <w:t xml:space="preserve"> </w:t>
      </w:r>
      <w:r w:rsidRPr="008B2DAD">
        <w:rPr>
          <w:lang w:val="en-US" w:eastAsia="es-ES"/>
        </w:rPr>
        <w:t xml:space="preserve">(1993). </w:t>
      </w:r>
      <w:proofErr w:type="spellStart"/>
      <w:r w:rsidRPr="008B2DAD">
        <w:rPr>
          <w:lang w:val="en-US" w:eastAsia="es-ES"/>
        </w:rPr>
        <w:t>Spectrophotometric</w:t>
      </w:r>
      <w:proofErr w:type="spellEnd"/>
      <w:r w:rsidRPr="008B2DAD">
        <w:rPr>
          <w:lang w:val="en-US" w:eastAsia="es-ES"/>
        </w:rPr>
        <w:t xml:space="preserve"> seawater pH measurements: total hydrogen ion concentration scale concentration scale calibration of m-c</w:t>
      </w:r>
      <w:r w:rsidR="004922CA">
        <w:rPr>
          <w:lang w:val="en-US" w:eastAsia="es-ES"/>
        </w:rPr>
        <w:t>resol purple and at-sea results.</w:t>
      </w:r>
      <w:r w:rsidRPr="008B2DAD">
        <w:rPr>
          <w:lang w:val="en-US" w:eastAsia="es-ES"/>
        </w:rPr>
        <w:t xml:space="preserve"> </w:t>
      </w:r>
      <w:proofErr w:type="gramStart"/>
      <w:r w:rsidRPr="004922CA">
        <w:rPr>
          <w:i/>
          <w:lang w:val="en-US" w:eastAsia="es-ES"/>
        </w:rPr>
        <w:t>Deep-Sea Res</w:t>
      </w:r>
      <w:r w:rsidR="004922CA" w:rsidRPr="004922CA">
        <w:rPr>
          <w:i/>
          <w:lang w:val="en-US" w:eastAsia="es-ES"/>
        </w:rPr>
        <w:t>earch (</w:t>
      </w:r>
      <w:r w:rsidRPr="004922CA">
        <w:rPr>
          <w:i/>
          <w:lang w:eastAsia="es-ES"/>
        </w:rPr>
        <w:t>40</w:t>
      </w:r>
      <w:r w:rsidR="004922CA" w:rsidRPr="004922CA">
        <w:rPr>
          <w:i/>
          <w:lang w:eastAsia="es-ES"/>
        </w:rPr>
        <w:t>)</w:t>
      </w:r>
      <w:r w:rsidRPr="004922CA">
        <w:rPr>
          <w:i/>
          <w:lang w:eastAsia="es-ES"/>
        </w:rPr>
        <w:t>,</w:t>
      </w:r>
      <w:r w:rsidRPr="008B2DAD">
        <w:rPr>
          <w:lang w:eastAsia="es-ES"/>
        </w:rPr>
        <w:t xml:space="preserve"> 2115–2129.</w:t>
      </w:r>
      <w:proofErr w:type="gramEnd"/>
    </w:p>
    <w:p w:rsidR="00444A55" w:rsidRPr="000552C7" w:rsidRDefault="00444A55" w:rsidP="004922CA">
      <w:pPr>
        <w:rPr>
          <w:lang w:val="en-US" w:eastAsia="es-ES"/>
        </w:rPr>
      </w:pPr>
      <w:r w:rsidRPr="00444A55">
        <w:rPr>
          <w:lang w:val="en-US" w:eastAsia="es-ES"/>
        </w:rPr>
        <w:t xml:space="preserve">Culberson, C.H. (1991). </w:t>
      </w:r>
      <w:proofErr w:type="gramStart"/>
      <w:r w:rsidRPr="00444A55">
        <w:rPr>
          <w:lang w:val="en-US" w:eastAsia="es-ES"/>
        </w:rPr>
        <w:t>Dissolved Oxygen.</w:t>
      </w:r>
      <w:proofErr w:type="gramEnd"/>
      <w:r w:rsidRPr="00444A55">
        <w:rPr>
          <w:lang w:val="en-US" w:eastAsia="es-ES"/>
        </w:rPr>
        <w:t xml:space="preserve"> </w:t>
      </w:r>
      <w:proofErr w:type="gramStart"/>
      <w:r w:rsidRPr="004922CA">
        <w:rPr>
          <w:i/>
          <w:lang w:val="en-US" w:eastAsia="es-ES"/>
        </w:rPr>
        <w:t xml:space="preserve">WHPO Publication </w:t>
      </w:r>
      <w:r w:rsidR="004922CA" w:rsidRPr="004922CA">
        <w:rPr>
          <w:i/>
          <w:lang w:val="en-US" w:eastAsia="es-ES"/>
        </w:rPr>
        <w:t>(</w:t>
      </w:r>
      <w:r w:rsidRPr="004922CA">
        <w:rPr>
          <w:i/>
          <w:lang w:val="en-US" w:eastAsia="es-ES"/>
        </w:rPr>
        <w:t>91</w:t>
      </w:r>
      <w:r w:rsidR="004922CA" w:rsidRPr="004922CA">
        <w:rPr>
          <w:i/>
          <w:lang w:val="en-US" w:eastAsia="es-ES"/>
        </w:rPr>
        <w:t>)</w:t>
      </w:r>
      <w:r w:rsidR="004922CA">
        <w:rPr>
          <w:lang w:val="en-US" w:eastAsia="es-ES"/>
        </w:rPr>
        <w:t xml:space="preserve"> </w:t>
      </w:r>
      <w:r w:rsidRPr="00444A55">
        <w:rPr>
          <w:lang w:val="en-US" w:eastAsia="es-ES"/>
        </w:rPr>
        <w:t>1.</w:t>
      </w:r>
      <w:proofErr w:type="gramEnd"/>
    </w:p>
    <w:p w:rsidR="00B75E6B" w:rsidRPr="004922CA" w:rsidRDefault="00B75E6B" w:rsidP="004922CA">
      <w:pPr>
        <w:rPr>
          <w:rFonts w:ascii="Times New Roman" w:hAnsi="Times New Roman" w:cs="Times New Roman"/>
          <w:sz w:val="24"/>
          <w:szCs w:val="24"/>
          <w:lang w:val="en-US" w:eastAsia="es-ES"/>
        </w:rPr>
      </w:pPr>
      <w:proofErr w:type="spellStart"/>
      <w:r w:rsidRPr="004922CA">
        <w:rPr>
          <w:lang w:val="en-US"/>
        </w:rPr>
        <w:t>Hasenmueller</w:t>
      </w:r>
      <w:proofErr w:type="spellEnd"/>
      <w:r w:rsidRPr="004922CA">
        <w:rPr>
          <w:lang w:val="en-US"/>
        </w:rPr>
        <w:t xml:space="preserve">, E.A. (2011). </w:t>
      </w:r>
      <w:proofErr w:type="spellStart"/>
      <w:r w:rsidRPr="004922CA">
        <w:t>The</w:t>
      </w:r>
      <w:proofErr w:type="spellEnd"/>
      <w:r w:rsidRPr="004922CA">
        <w:t xml:space="preserve"> </w:t>
      </w:r>
      <w:proofErr w:type="spellStart"/>
      <w:r w:rsidRPr="004922CA">
        <w:t>hydrology</w:t>
      </w:r>
      <w:proofErr w:type="spellEnd"/>
      <w:r w:rsidRPr="004922CA">
        <w:t xml:space="preserve"> and </w:t>
      </w:r>
      <w:proofErr w:type="spellStart"/>
      <w:r w:rsidRPr="004922CA">
        <w:t>geochemistry</w:t>
      </w:r>
      <w:proofErr w:type="spellEnd"/>
      <w:r w:rsidRPr="004922CA">
        <w:t xml:space="preserve"> of </w:t>
      </w:r>
      <w:proofErr w:type="spellStart"/>
      <w:r w:rsidRPr="004922CA">
        <w:t>urban</w:t>
      </w:r>
      <w:proofErr w:type="spellEnd"/>
      <w:r w:rsidRPr="004922CA">
        <w:t xml:space="preserve"> and rural </w:t>
      </w:r>
      <w:proofErr w:type="spellStart"/>
      <w:r w:rsidRPr="004922CA">
        <w:t>watersheds</w:t>
      </w:r>
      <w:proofErr w:type="spellEnd"/>
      <w:r w:rsidRPr="004922CA">
        <w:t xml:space="preserve"> in </w:t>
      </w:r>
      <w:proofErr w:type="spellStart"/>
      <w:r w:rsidRPr="004922CA">
        <w:t>east</w:t>
      </w:r>
      <w:proofErr w:type="spellEnd"/>
      <w:r w:rsidRPr="004922CA">
        <w:t xml:space="preserve">-central Missouri. </w:t>
      </w:r>
      <w:proofErr w:type="gramStart"/>
      <w:r w:rsidRPr="004922CA">
        <w:rPr>
          <w:lang w:val="en-US"/>
        </w:rPr>
        <w:t>Washington University in St. Louis.</w:t>
      </w:r>
      <w:proofErr w:type="gramEnd"/>
    </w:p>
    <w:p w:rsidR="000552C7" w:rsidRPr="004922CA" w:rsidRDefault="000552C7" w:rsidP="004922CA">
      <w:pPr>
        <w:rPr>
          <w:lang w:val="en-US" w:eastAsia="es-ES"/>
        </w:rPr>
      </w:pPr>
      <w:proofErr w:type="spellStart"/>
      <w:r w:rsidRPr="000552C7">
        <w:rPr>
          <w:lang w:val="en-US" w:eastAsia="es-ES"/>
        </w:rPr>
        <w:t>Hydes</w:t>
      </w:r>
      <w:proofErr w:type="spellEnd"/>
      <w:r w:rsidRPr="000552C7">
        <w:rPr>
          <w:lang w:val="en-US" w:eastAsia="es-ES"/>
        </w:rPr>
        <w:t xml:space="preserve">, D.J., Aoyama, M., </w:t>
      </w:r>
      <w:proofErr w:type="spellStart"/>
      <w:r w:rsidRPr="000552C7">
        <w:rPr>
          <w:lang w:val="en-US" w:eastAsia="es-ES"/>
        </w:rPr>
        <w:t>Aminot</w:t>
      </w:r>
      <w:proofErr w:type="spellEnd"/>
      <w:r w:rsidRPr="000552C7">
        <w:rPr>
          <w:lang w:val="en-US" w:eastAsia="es-ES"/>
        </w:rPr>
        <w:t xml:space="preserve">, A., Bakker, K., Becker, S., </w:t>
      </w:r>
      <w:proofErr w:type="spellStart"/>
      <w:r w:rsidRPr="000552C7">
        <w:rPr>
          <w:lang w:val="en-US" w:eastAsia="es-ES"/>
        </w:rPr>
        <w:t>Coverly</w:t>
      </w:r>
      <w:proofErr w:type="spellEnd"/>
      <w:r w:rsidRPr="000552C7">
        <w:rPr>
          <w:lang w:val="en-US" w:eastAsia="es-ES"/>
        </w:rPr>
        <w:t>, S., et al. (2010). </w:t>
      </w:r>
      <w:proofErr w:type="gramStart"/>
      <w:r w:rsidRPr="000552C7">
        <w:rPr>
          <w:lang w:val="en-US" w:eastAsia="es-ES"/>
        </w:rPr>
        <w:t xml:space="preserve">Determination of dissolved nutrients (N, P, Si) in seawater with high precision and inter-comparability using gas-segmented continuous flow </w:t>
      </w:r>
      <w:proofErr w:type="spellStart"/>
      <w:r w:rsidRPr="000552C7">
        <w:rPr>
          <w:lang w:val="en-US" w:eastAsia="es-ES"/>
        </w:rPr>
        <w:t>analysers</w:t>
      </w:r>
      <w:proofErr w:type="spellEnd"/>
      <w:r w:rsidRPr="000552C7">
        <w:rPr>
          <w:lang w:val="en-US" w:eastAsia="es-ES"/>
        </w:rPr>
        <w:t>.</w:t>
      </w:r>
      <w:proofErr w:type="gramEnd"/>
      <w:r w:rsidRPr="000552C7">
        <w:rPr>
          <w:lang w:val="en-US" w:eastAsia="es-ES"/>
        </w:rPr>
        <w:t xml:space="preserve"> </w:t>
      </w:r>
      <w:r w:rsidR="004922CA" w:rsidRPr="004922CA">
        <w:rPr>
          <w:i/>
          <w:lang w:val="en-US" w:eastAsia="es-ES"/>
        </w:rPr>
        <w:t xml:space="preserve">GO-SHIP Repeat </w:t>
      </w:r>
      <w:proofErr w:type="spellStart"/>
      <w:r w:rsidR="004922CA" w:rsidRPr="004922CA">
        <w:rPr>
          <w:i/>
          <w:lang w:val="en-US" w:eastAsia="es-ES"/>
        </w:rPr>
        <w:t>Hydrography</w:t>
      </w:r>
      <w:proofErr w:type="spellEnd"/>
      <w:r w:rsidR="004922CA" w:rsidRPr="004922CA">
        <w:rPr>
          <w:i/>
          <w:lang w:val="en-US" w:eastAsia="es-ES"/>
        </w:rPr>
        <w:t xml:space="preserve"> Manual: A Collection of Expert Reports and Guidelines</w:t>
      </w:r>
      <w:r w:rsidR="004922CA" w:rsidRPr="000552C7">
        <w:rPr>
          <w:lang w:val="en-US" w:eastAsia="es-ES"/>
        </w:rPr>
        <w:t>.</w:t>
      </w:r>
    </w:p>
    <w:p w:rsidR="003455D9" w:rsidRPr="004922CA" w:rsidRDefault="003455D9" w:rsidP="004922CA">
      <w:pPr>
        <w:rPr>
          <w:lang w:val="en-US" w:eastAsia="es-ES"/>
        </w:rPr>
      </w:pPr>
      <w:proofErr w:type="gramStart"/>
      <w:r w:rsidRPr="003455D9">
        <w:rPr>
          <w:lang w:val="en-US" w:eastAsia="es-ES"/>
        </w:rPr>
        <w:t xml:space="preserve">Jiang, L.Q., </w:t>
      </w:r>
      <w:proofErr w:type="spellStart"/>
      <w:r w:rsidRPr="003455D9">
        <w:rPr>
          <w:lang w:val="en-US" w:eastAsia="es-ES"/>
        </w:rPr>
        <w:t>Pierrot</w:t>
      </w:r>
      <w:proofErr w:type="spellEnd"/>
      <w:r w:rsidRPr="003455D9">
        <w:rPr>
          <w:lang w:val="en-US" w:eastAsia="es-ES"/>
        </w:rPr>
        <w:t xml:space="preserve">, D., </w:t>
      </w:r>
      <w:proofErr w:type="spellStart"/>
      <w:r w:rsidRPr="003455D9">
        <w:rPr>
          <w:lang w:val="en-US" w:eastAsia="es-ES"/>
        </w:rPr>
        <w:t>Wanninkhof</w:t>
      </w:r>
      <w:proofErr w:type="spellEnd"/>
      <w:r w:rsidRPr="003455D9">
        <w:rPr>
          <w:lang w:val="en-US" w:eastAsia="es-ES"/>
        </w:rPr>
        <w:t xml:space="preserve">, R., Feely, R.A., </w:t>
      </w:r>
      <w:proofErr w:type="spellStart"/>
      <w:r w:rsidRPr="003455D9">
        <w:rPr>
          <w:lang w:val="en-US" w:eastAsia="es-ES"/>
        </w:rPr>
        <w:t>Tilbrook</w:t>
      </w:r>
      <w:proofErr w:type="spellEnd"/>
      <w:r w:rsidRPr="003455D9">
        <w:rPr>
          <w:lang w:val="en-US" w:eastAsia="es-ES"/>
        </w:rPr>
        <w:t xml:space="preserve">, B., </w:t>
      </w:r>
      <w:proofErr w:type="spellStart"/>
      <w:r w:rsidRPr="003455D9">
        <w:rPr>
          <w:lang w:val="en-US" w:eastAsia="es-ES"/>
        </w:rPr>
        <w:t>Alin</w:t>
      </w:r>
      <w:proofErr w:type="spellEnd"/>
      <w:r w:rsidRPr="003455D9">
        <w:rPr>
          <w:lang w:val="en-US" w:eastAsia="es-ES"/>
        </w:rPr>
        <w:t>, S.</w:t>
      </w:r>
      <w:r w:rsidR="004922CA">
        <w:rPr>
          <w:lang w:val="en-US" w:eastAsia="es-ES"/>
        </w:rPr>
        <w:t>, et al.</w:t>
      </w:r>
      <w:r w:rsidRPr="003455D9">
        <w:rPr>
          <w:lang w:val="en-US" w:eastAsia="es-ES"/>
        </w:rPr>
        <w:t xml:space="preserve"> (2022).</w:t>
      </w:r>
      <w:proofErr w:type="gramEnd"/>
      <w:r w:rsidRPr="003455D9">
        <w:rPr>
          <w:lang w:val="en-US" w:eastAsia="es-ES"/>
        </w:rPr>
        <w:t xml:space="preserve"> Best practice data standards for discrete chemical oceanographic observations. </w:t>
      </w:r>
      <w:proofErr w:type="gramStart"/>
      <w:r w:rsidRPr="004922CA">
        <w:rPr>
          <w:i/>
          <w:iCs/>
          <w:lang w:val="en-US" w:eastAsia="es-ES"/>
        </w:rPr>
        <w:t>Frontiers in Marine Science</w:t>
      </w:r>
      <w:r w:rsidRPr="004922CA">
        <w:rPr>
          <w:lang w:val="en-US" w:eastAsia="es-ES"/>
        </w:rPr>
        <w:t xml:space="preserve"> </w:t>
      </w:r>
      <w:r w:rsidR="004922CA" w:rsidRPr="004922CA">
        <w:rPr>
          <w:lang w:val="en-US" w:eastAsia="es-ES"/>
        </w:rPr>
        <w:t>(</w:t>
      </w:r>
      <w:r w:rsidRPr="004922CA">
        <w:rPr>
          <w:i/>
          <w:iCs/>
          <w:lang w:val="en-US" w:eastAsia="es-ES"/>
        </w:rPr>
        <w:t>8</w:t>
      </w:r>
      <w:r w:rsidR="004922CA" w:rsidRPr="004922CA">
        <w:rPr>
          <w:i/>
          <w:iCs/>
          <w:lang w:val="en-US" w:eastAsia="es-ES"/>
        </w:rPr>
        <w:t>)</w:t>
      </w:r>
      <w:r w:rsidRPr="004922CA">
        <w:rPr>
          <w:lang w:val="en-US" w:eastAsia="es-ES"/>
        </w:rPr>
        <w:t>, 705638.</w:t>
      </w:r>
      <w:proofErr w:type="gramEnd"/>
    </w:p>
    <w:p w:rsidR="004922CA" w:rsidRPr="004922CA" w:rsidRDefault="00444A55" w:rsidP="004922CA">
      <w:pPr>
        <w:rPr>
          <w:lang w:val="en-US" w:eastAsia="es-ES"/>
        </w:rPr>
      </w:pPr>
      <w:r w:rsidRPr="00444A55">
        <w:rPr>
          <w:lang w:val="en-US" w:eastAsia="es-ES"/>
        </w:rPr>
        <w:t xml:space="preserve">Langdon, C. (2010) Determination of </w:t>
      </w:r>
      <w:r w:rsidR="004922CA">
        <w:rPr>
          <w:lang w:val="en-US" w:eastAsia="es-ES"/>
        </w:rPr>
        <w:t>d</w:t>
      </w:r>
      <w:r w:rsidRPr="00444A55">
        <w:rPr>
          <w:lang w:val="en-US" w:eastAsia="es-ES"/>
        </w:rPr>
        <w:t xml:space="preserve">issolved </w:t>
      </w:r>
      <w:r w:rsidR="004922CA">
        <w:rPr>
          <w:lang w:val="en-US" w:eastAsia="es-ES"/>
        </w:rPr>
        <w:t>o</w:t>
      </w:r>
      <w:r w:rsidRPr="00444A55">
        <w:rPr>
          <w:lang w:val="en-US" w:eastAsia="es-ES"/>
        </w:rPr>
        <w:t xml:space="preserve">xygen in </w:t>
      </w:r>
      <w:proofErr w:type="spellStart"/>
      <w:r w:rsidR="004922CA">
        <w:rPr>
          <w:lang w:val="en-US" w:eastAsia="es-ES"/>
        </w:rPr>
        <w:t>s</w:t>
      </w:r>
      <w:r w:rsidRPr="00444A55">
        <w:rPr>
          <w:lang w:val="en-US" w:eastAsia="es-ES"/>
        </w:rPr>
        <w:t>eaweater</w:t>
      </w:r>
      <w:proofErr w:type="spellEnd"/>
      <w:r w:rsidRPr="00444A55">
        <w:rPr>
          <w:lang w:val="en-US" w:eastAsia="es-ES"/>
        </w:rPr>
        <w:t xml:space="preserve"> </w:t>
      </w:r>
      <w:r w:rsidR="004922CA">
        <w:rPr>
          <w:lang w:val="en-US" w:eastAsia="es-ES"/>
        </w:rPr>
        <w:t>b</w:t>
      </w:r>
      <w:r w:rsidRPr="00444A55">
        <w:rPr>
          <w:lang w:val="en-US" w:eastAsia="es-ES"/>
        </w:rPr>
        <w:t xml:space="preserve">y Winkler </w:t>
      </w:r>
      <w:r w:rsidR="004922CA">
        <w:rPr>
          <w:lang w:val="en-US" w:eastAsia="es-ES"/>
        </w:rPr>
        <w:t>t</w:t>
      </w:r>
      <w:r w:rsidRPr="00444A55">
        <w:rPr>
          <w:lang w:val="en-US" w:eastAsia="es-ES"/>
        </w:rPr>
        <w:t xml:space="preserve">itration using </w:t>
      </w:r>
      <w:proofErr w:type="spellStart"/>
      <w:r w:rsidR="004922CA">
        <w:rPr>
          <w:lang w:val="en-US" w:eastAsia="es-ES"/>
        </w:rPr>
        <w:t>a</w:t>
      </w:r>
      <w:r w:rsidRPr="00444A55">
        <w:rPr>
          <w:lang w:val="en-US" w:eastAsia="es-ES"/>
        </w:rPr>
        <w:t>mperometric</w:t>
      </w:r>
      <w:proofErr w:type="spellEnd"/>
      <w:r w:rsidRPr="00444A55">
        <w:rPr>
          <w:lang w:val="en-US" w:eastAsia="es-ES"/>
        </w:rPr>
        <w:t xml:space="preserve"> </w:t>
      </w:r>
      <w:r w:rsidR="004922CA">
        <w:rPr>
          <w:lang w:val="en-US" w:eastAsia="es-ES"/>
        </w:rPr>
        <w:t>t</w:t>
      </w:r>
      <w:r w:rsidRPr="00444A55">
        <w:rPr>
          <w:lang w:val="en-US" w:eastAsia="es-ES"/>
        </w:rPr>
        <w:t xml:space="preserve">echnique. </w:t>
      </w:r>
      <w:r w:rsidR="004922CA" w:rsidRPr="004922CA">
        <w:rPr>
          <w:i/>
          <w:lang w:val="en-US" w:eastAsia="es-ES"/>
        </w:rPr>
        <w:t xml:space="preserve">GO-SHIP Repeat </w:t>
      </w:r>
      <w:proofErr w:type="spellStart"/>
      <w:r w:rsidR="004922CA" w:rsidRPr="004922CA">
        <w:rPr>
          <w:i/>
          <w:lang w:val="en-US" w:eastAsia="es-ES"/>
        </w:rPr>
        <w:t>Hydrography</w:t>
      </w:r>
      <w:proofErr w:type="spellEnd"/>
      <w:r w:rsidR="004922CA" w:rsidRPr="004922CA">
        <w:rPr>
          <w:i/>
          <w:lang w:val="en-US" w:eastAsia="es-ES"/>
        </w:rPr>
        <w:t xml:space="preserve"> Manual: A Collection of Expert Reports and Guidelines</w:t>
      </w:r>
      <w:r w:rsidR="004922CA" w:rsidRPr="000552C7">
        <w:rPr>
          <w:lang w:val="en-US" w:eastAsia="es-ES"/>
        </w:rPr>
        <w:t>.</w:t>
      </w:r>
    </w:p>
    <w:p w:rsidR="00EA47B4" w:rsidRPr="004922CA" w:rsidRDefault="00EA47B4" w:rsidP="004922CA">
      <w:pPr>
        <w:rPr>
          <w:lang w:val="en-US" w:eastAsia="es-ES"/>
        </w:rPr>
      </w:pPr>
      <w:proofErr w:type="spellStart"/>
      <w:proofErr w:type="gramStart"/>
      <w:r w:rsidRPr="009400E1">
        <w:rPr>
          <w:lang w:val="en-US" w:eastAsia="es-ES"/>
        </w:rPr>
        <w:t>Pérez</w:t>
      </w:r>
      <w:proofErr w:type="spellEnd"/>
      <w:r w:rsidRPr="009400E1">
        <w:rPr>
          <w:lang w:val="en-US" w:eastAsia="es-ES"/>
        </w:rPr>
        <w:t>, F.</w:t>
      </w:r>
      <w:r w:rsidR="004922CA">
        <w:rPr>
          <w:lang w:val="en-US" w:eastAsia="es-ES"/>
        </w:rPr>
        <w:t>F.,</w:t>
      </w:r>
      <w:r w:rsidRPr="009400E1">
        <w:rPr>
          <w:lang w:val="en-US" w:eastAsia="es-ES"/>
        </w:rPr>
        <w:t xml:space="preserve"> </w:t>
      </w:r>
      <w:proofErr w:type="spellStart"/>
      <w:r w:rsidRPr="009400E1">
        <w:rPr>
          <w:lang w:val="en-US" w:eastAsia="es-ES"/>
        </w:rPr>
        <w:t>Fraga</w:t>
      </w:r>
      <w:proofErr w:type="spellEnd"/>
      <w:r w:rsidRPr="009400E1">
        <w:rPr>
          <w:lang w:val="en-US" w:eastAsia="es-ES"/>
        </w:rPr>
        <w:t>, F</w:t>
      </w:r>
      <w:r w:rsidR="004922CA">
        <w:rPr>
          <w:lang w:val="en-US" w:eastAsia="es-ES"/>
        </w:rPr>
        <w:t xml:space="preserve">. </w:t>
      </w:r>
      <w:r w:rsidRPr="009400E1">
        <w:rPr>
          <w:lang w:val="en-US" w:eastAsia="es-ES"/>
        </w:rPr>
        <w:t>(1987) A precise and rapid analytical procedu</w:t>
      </w:r>
      <w:r w:rsidR="004922CA">
        <w:rPr>
          <w:lang w:val="en-US" w:eastAsia="es-ES"/>
        </w:rPr>
        <w:t>re for alkalinity determination.</w:t>
      </w:r>
      <w:proofErr w:type="gramEnd"/>
      <w:r w:rsidRPr="009400E1">
        <w:rPr>
          <w:lang w:val="en-US" w:eastAsia="es-ES"/>
        </w:rPr>
        <w:t xml:space="preserve"> </w:t>
      </w:r>
      <w:r w:rsidRPr="004922CA">
        <w:rPr>
          <w:i/>
          <w:lang w:val="en-US" w:eastAsia="es-ES"/>
        </w:rPr>
        <w:t>Mar</w:t>
      </w:r>
      <w:r w:rsidR="004922CA" w:rsidRPr="004922CA">
        <w:rPr>
          <w:i/>
          <w:lang w:val="en-US" w:eastAsia="es-ES"/>
        </w:rPr>
        <w:t>ine</w:t>
      </w:r>
      <w:r w:rsidRPr="004922CA">
        <w:rPr>
          <w:i/>
          <w:lang w:val="en-US" w:eastAsia="es-ES"/>
        </w:rPr>
        <w:t xml:space="preserve"> Chem</w:t>
      </w:r>
      <w:r w:rsidR="004922CA" w:rsidRPr="004922CA">
        <w:rPr>
          <w:i/>
          <w:lang w:val="en-US" w:eastAsia="es-ES"/>
        </w:rPr>
        <w:t>istry (</w:t>
      </w:r>
      <w:r w:rsidRPr="004922CA">
        <w:rPr>
          <w:i/>
          <w:lang w:val="en-US" w:eastAsia="es-ES"/>
        </w:rPr>
        <w:t>21</w:t>
      </w:r>
      <w:r w:rsidR="004922CA" w:rsidRPr="004922CA">
        <w:rPr>
          <w:i/>
          <w:lang w:val="en-US" w:eastAsia="es-ES"/>
        </w:rPr>
        <w:t>)</w:t>
      </w:r>
      <w:r w:rsidRPr="004922CA">
        <w:rPr>
          <w:i/>
          <w:lang w:val="en-US" w:eastAsia="es-ES"/>
        </w:rPr>
        <w:t>,</w:t>
      </w:r>
      <w:r w:rsidRPr="004922CA">
        <w:rPr>
          <w:lang w:val="en-US" w:eastAsia="es-ES"/>
        </w:rPr>
        <w:t xml:space="preserve"> 169–182.</w:t>
      </w:r>
    </w:p>
    <w:p w:rsidR="00EA47B4" w:rsidRPr="00EA47B4" w:rsidRDefault="004922CA" w:rsidP="004922CA">
      <w:pPr>
        <w:rPr>
          <w:lang w:val="en-US" w:eastAsia="es-ES"/>
        </w:rPr>
      </w:pPr>
      <w:r>
        <w:rPr>
          <w:lang w:eastAsia="es-ES"/>
        </w:rPr>
        <w:t xml:space="preserve">Pérez, F.F., Ríos, A.F., </w:t>
      </w:r>
      <w:proofErr w:type="spellStart"/>
      <w:r>
        <w:rPr>
          <w:lang w:eastAsia="es-ES"/>
        </w:rPr>
        <w:t>Rellán</w:t>
      </w:r>
      <w:proofErr w:type="spellEnd"/>
      <w:r>
        <w:rPr>
          <w:lang w:eastAsia="es-ES"/>
        </w:rPr>
        <w:t>, T.,</w:t>
      </w:r>
      <w:r w:rsidR="00EA47B4" w:rsidRPr="009400E1">
        <w:rPr>
          <w:lang w:eastAsia="es-ES"/>
        </w:rPr>
        <w:t xml:space="preserve"> Álvarez, M. (2000). </w:t>
      </w:r>
      <w:proofErr w:type="gramStart"/>
      <w:r w:rsidR="00EA47B4" w:rsidRPr="009400E1">
        <w:rPr>
          <w:lang w:val="en-US" w:eastAsia="es-ES"/>
        </w:rPr>
        <w:t xml:space="preserve">Improvements in a fast </w:t>
      </w:r>
      <w:proofErr w:type="spellStart"/>
      <w:r w:rsidR="00EA47B4" w:rsidRPr="009400E1">
        <w:rPr>
          <w:lang w:val="en-US" w:eastAsia="es-ES"/>
        </w:rPr>
        <w:t>potentiometric</w:t>
      </w:r>
      <w:proofErr w:type="spellEnd"/>
      <w:r w:rsidR="00EA47B4" w:rsidRPr="009400E1">
        <w:rPr>
          <w:lang w:val="en-US" w:eastAsia="es-ES"/>
        </w:rPr>
        <w:t xml:space="preserve"> seawater alkalinity determination, </w:t>
      </w:r>
      <w:proofErr w:type="spellStart"/>
      <w:r w:rsidR="00EA47B4" w:rsidRPr="004922CA">
        <w:rPr>
          <w:i/>
          <w:lang w:val="en-US" w:eastAsia="es-ES"/>
        </w:rPr>
        <w:t>Cienc</w:t>
      </w:r>
      <w:r w:rsidRPr="004922CA">
        <w:rPr>
          <w:i/>
          <w:lang w:val="en-US" w:eastAsia="es-ES"/>
        </w:rPr>
        <w:t>ias</w:t>
      </w:r>
      <w:proofErr w:type="spellEnd"/>
      <w:r w:rsidR="00EA47B4" w:rsidRPr="004922CA">
        <w:rPr>
          <w:i/>
          <w:lang w:val="en-US" w:eastAsia="es-ES"/>
        </w:rPr>
        <w:t xml:space="preserve"> Mar</w:t>
      </w:r>
      <w:r w:rsidRPr="004922CA">
        <w:rPr>
          <w:i/>
          <w:lang w:val="en-US" w:eastAsia="es-ES"/>
        </w:rPr>
        <w:t>inas (</w:t>
      </w:r>
      <w:r w:rsidR="00EA47B4" w:rsidRPr="004922CA">
        <w:rPr>
          <w:i/>
          <w:lang w:val="en-US" w:eastAsia="es-ES"/>
        </w:rPr>
        <w:t>26</w:t>
      </w:r>
      <w:r w:rsidRPr="004922CA">
        <w:rPr>
          <w:i/>
          <w:lang w:val="en-US" w:eastAsia="es-ES"/>
        </w:rPr>
        <w:t>)</w:t>
      </w:r>
      <w:r w:rsidR="00EA47B4" w:rsidRPr="009400E1">
        <w:rPr>
          <w:lang w:val="en-US" w:eastAsia="es-ES"/>
        </w:rPr>
        <w:t>, 463–478.</w:t>
      </w:r>
      <w:proofErr w:type="gramEnd"/>
    </w:p>
    <w:p w:rsidR="003455D9" w:rsidRDefault="00EA47B4" w:rsidP="004922CA">
      <w:pPr>
        <w:rPr>
          <w:lang w:val="en-US"/>
        </w:rPr>
      </w:pPr>
      <w:r>
        <w:rPr>
          <w:lang w:val="en-US"/>
        </w:rPr>
        <w:t xml:space="preserve">SEAL Analytical (2015). </w:t>
      </w:r>
      <w:r w:rsidRPr="00EA47B4">
        <w:rPr>
          <w:lang w:val="en-US"/>
        </w:rPr>
        <w:t>AACE 7.06 Software</w:t>
      </w:r>
      <w:r>
        <w:rPr>
          <w:lang w:val="en-US"/>
        </w:rPr>
        <w:t xml:space="preserve"> </w:t>
      </w:r>
      <w:r w:rsidRPr="00EA47B4">
        <w:rPr>
          <w:lang w:val="en-US"/>
        </w:rPr>
        <w:t>Operation Manual</w:t>
      </w:r>
    </w:p>
    <w:p w:rsidR="0046417F" w:rsidRPr="0046417F" w:rsidRDefault="0046417F" w:rsidP="004922CA">
      <w:pPr>
        <w:rPr>
          <w:lang w:eastAsia="es-ES"/>
        </w:rPr>
      </w:pPr>
      <w:proofErr w:type="gramStart"/>
      <w:r w:rsidRPr="0046417F">
        <w:rPr>
          <w:lang w:val="en-US" w:eastAsia="es-ES"/>
        </w:rPr>
        <w:t xml:space="preserve">Seidel, M.P., </w:t>
      </w:r>
      <w:proofErr w:type="spellStart"/>
      <w:r w:rsidRPr="0046417F">
        <w:rPr>
          <w:lang w:val="en-US" w:eastAsia="es-ES"/>
        </w:rPr>
        <w:t>DeGrandpre</w:t>
      </w:r>
      <w:proofErr w:type="spellEnd"/>
      <w:r w:rsidRPr="0046417F">
        <w:rPr>
          <w:lang w:val="en-US" w:eastAsia="es-ES"/>
        </w:rPr>
        <w:t xml:space="preserve">, M.D., Dickson, A.G., </w:t>
      </w:r>
      <w:r w:rsidR="003B7B10">
        <w:rPr>
          <w:lang w:val="en-US" w:eastAsia="es-ES"/>
        </w:rPr>
        <w:t>(</w:t>
      </w:r>
      <w:r w:rsidRPr="0046417F">
        <w:rPr>
          <w:lang w:val="en-US" w:eastAsia="es-ES"/>
        </w:rPr>
        <w:t>2008</w:t>
      </w:r>
      <w:r w:rsidR="003B7B10">
        <w:rPr>
          <w:lang w:val="en-US" w:eastAsia="es-ES"/>
        </w:rPr>
        <w:t>)</w:t>
      </w:r>
      <w:r w:rsidRPr="0046417F">
        <w:rPr>
          <w:lang w:val="en-US" w:eastAsia="es-ES"/>
        </w:rPr>
        <w:t>.</w:t>
      </w:r>
      <w:proofErr w:type="gramEnd"/>
      <w:r w:rsidRPr="0046417F">
        <w:rPr>
          <w:lang w:val="en-US" w:eastAsia="es-ES"/>
        </w:rPr>
        <w:t xml:space="preserve"> </w:t>
      </w:r>
      <w:proofErr w:type="gramStart"/>
      <w:r w:rsidRPr="0046417F">
        <w:rPr>
          <w:lang w:val="en-US" w:eastAsia="es-ES"/>
        </w:rPr>
        <w:t xml:space="preserve">A sensor for in situ indicator-based measurements of seawater </w:t>
      </w:r>
      <w:proofErr w:type="spellStart"/>
      <w:r w:rsidRPr="0046417F">
        <w:rPr>
          <w:lang w:val="en-US" w:eastAsia="es-ES"/>
        </w:rPr>
        <w:t>pH.</w:t>
      </w:r>
      <w:proofErr w:type="spellEnd"/>
      <w:proofErr w:type="gramEnd"/>
      <w:r w:rsidRPr="0046417F">
        <w:rPr>
          <w:lang w:val="en-US" w:eastAsia="es-ES"/>
        </w:rPr>
        <w:t xml:space="preserve"> </w:t>
      </w:r>
      <w:r w:rsidRPr="003B7B10">
        <w:rPr>
          <w:i/>
          <w:lang w:eastAsia="es-ES"/>
        </w:rPr>
        <w:t>Mar</w:t>
      </w:r>
      <w:r w:rsidR="003B7B10" w:rsidRPr="003B7B10">
        <w:rPr>
          <w:i/>
          <w:lang w:eastAsia="es-ES"/>
        </w:rPr>
        <w:t>ine</w:t>
      </w:r>
      <w:r w:rsidRPr="003B7B10">
        <w:rPr>
          <w:i/>
          <w:lang w:eastAsia="es-ES"/>
        </w:rPr>
        <w:t xml:space="preserve"> </w:t>
      </w:r>
      <w:proofErr w:type="spellStart"/>
      <w:r w:rsidRPr="003B7B10">
        <w:rPr>
          <w:i/>
          <w:lang w:eastAsia="es-ES"/>
        </w:rPr>
        <w:t>Chem</w:t>
      </w:r>
      <w:r w:rsidR="003B7B10" w:rsidRPr="003B7B10">
        <w:rPr>
          <w:i/>
          <w:lang w:eastAsia="es-ES"/>
        </w:rPr>
        <w:t>istry</w:t>
      </w:r>
      <w:proofErr w:type="spellEnd"/>
      <w:r w:rsidR="003B7B10">
        <w:rPr>
          <w:lang w:eastAsia="es-ES"/>
        </w:rPr>
        <w:t xml:space="preserve"> (</w:t>
      </w:r>
      <w:r w:rsidRPr="0046417F">
        <w:rPr>
          <w:lang w:eastAsia="es-ES"/>
        </w:rPr>
        <w:t>109</w:t>
      </w:r>
      <w:r w:rsidR="003B7B10">
        <w:rPr>
          <w:lang w:eastAsia="es-ES"/>
        </w:rPr>
        <w:t>)</w:t>
      </w:r>
      <w:r w:rsidRPr="0046417F">
        <w:rPr>
          <w:lang w:eastAsia="es-ES"/>
        </w:rPr>
        <w:t xml:space="preserve">, 18–28. </w:t>
      </w:r>
    </w:p>
    <w:p w:rsidR="0046417F" w:rsidRPr="00F70F48" w:rsidRDefault="0046417F" w:rsidP="004922CA">
      <w:pPr>
        <w:rPr>
          <w:lang w:val="en-US"/>
        </w:rPr>
      </w:pPr>
    </w:p>
    <w:sectPr w:rsidR="0046417F" w:rsidRPr="00F70F48" w:rsidSect="000817B7">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0473" w:rsidRDefault="00600473" w:rsidP="009B6A1C">
      <w:pPr>
        <w:spacing w:after="0" w:line="240" w:lineRule="auto"/>
      </w:pPr>
      <w:r>
        <w:separator/>
      </w:r>
    </w:p>
  </w:endnote>
  <w:endnote w:type="continuationSeparator" w:id="0">
    <w:p w:rsidR="00600473" w:rsidRDefault="00600473" w:rsidP="009B6A1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08745797"/>
      <w:docPartObj>
        <w:docPartGallery w:val="Page Numbers (Bottom of Page)"/>
        <w:docPartUnique/>
      </w:docPartObj>
    </w:sdtPr>
    <w:sdtContent>
      <w:p w:rsidR="004922CA" w:rsidRDefault="004922CA">
        <w:pPr>
          <w:pStyle w:val="Piedepgina"/>
          <w:jc w:val="center"/>
        </w:pPr>
        <w:fldSimple w:instr=" PAGE   \* MERGEFORMAT ">
          <w:r w:rsidR="003B7B10">
            <w:rPr>
              <w:noProof/>
            </w:rPr>
            <w:t>3</w:t>
          </w:r>
        </w:fldSimple>
      </w:p>
    </w:sdtContent>
  </w:sdt>
  <w:p w:rsidR="004922CA" w:rsidRDefault="004922CA">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0473" w:rsidRDefault="00600473" w:rsidP="009B6A1C">
      <w:pPr>
        <w:spacing w:after="0" w:line="240" w:lineRule="auto"/>
      </w:pPr>
      <w:r>
        <w:separator/>
      </w:r>
    </w:p>
  </w:footnote>
  <w:footnote w:type="continuationSeparator" w:id="0">
    <w:p w:rsidR="00600473" w:rsidRDefault="00600473" w:rsidP="009B6A1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6A1C" w:rsidRDefault="004922CA" w:rsidP="004922CA">
    <w:pPr>
      <w:pStyle w:val="Encabezado"/>
      <w:jc w:val="right"/>
    </w:pPr>
    <w:r>
      <w:rPr>
        <w:noProof/>
        <w:lang w:eastAsia="es-ES"/>
      </w:rPr>
      <w:drawing>
        <wp:anchor distT="0" distB="0" distL="114300" distR="114300" simplePos="0" relativeHeight="251659264" behindDoc="0" locked="0" layoutInCell="1" allowOverlap="1">
          <wp:simplePos x="0" y="0"/>
          <wp:positionH relativeFrom="column">
            <wp:posOffset>4335004</wp:posOffset>
          </wp:positionH>
          <wp:positionV relativeFrom="paragraph">
            <wp:posOffset>-235091</wp:posOffset>
          </wp:positionV>
          <wp:extent cx="1275362" cy="530578"/>
          <wp:effectExtent l="19050" t="0" r="988" b="0"/>
          <wp:wrapNone/>
          <wp:docPr id="4" name="Imagen 4" descr="Logo 50 Aniversario del CO de A Coruñ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50 Aniversario del CO de A Coruña"/>
                  <pic:cNvPicPr>
                    <a:picLocks noChangeAspect="1" noChangeArrowheads="1"/>
                  </pic:cNvPicPr>
                </pic:nvPicPr>
                <pic:blipFill>
                  <a:blip r:embed="rId1"/>
                  <a:srcRect t="10466" b="17767"/>
                  <a:stretch>
                    <a:fillRect/>
                  </a:stretch>
                </pic:blipFill>
                <pic:spPr bwMode="auto">
                  <a:xfrm>
                    <a:off x="0" y="0"/>
                    <a:ext cx="1275362" cy="530578"/>
                  </a:xfrm>
                  <a:prstGeom prst="rect">
                    <a:avLst/>
                  </a:prstGeom>
                  <a:noFill/>
                  <a:ln w="9525">
                    <a:noFill/>
                    <a:miter lim="800000"/>
                    <a:headEnd/>
                    <a:tailEnd/>
                  </a:ln>
                </pic:spPr>
              </pic:pic>
            </a:graphicData>
          </a:graphic>
        </wp:anchor>
      </w:drawing>
    </w:r>
    <w:r>
      <w:rPr>
        <w:noProof/>
        <w:lang w:eastAsia="es-ES"/>
      </w:rPr>
      <w:drawing>
        <wp:anchor distT="0" distB="0" distL="114300" distR="114300" simplePos="0" relativeHeight="251660288" behindDoc="0" locked="0" layoutInCell="1" allowOverlap="1">
          <wp:simplePos x="0" y="0"/>
          <wp:positionH relativeFrom="column">
            <wp:posOffset>-361174</wp:posOffset>
          </wp:positionH>
          <wp:positionV relativeFrom="paragraph">
            <wp:posOffset>-76072</wp:posOffset>
          </wp:positionV>
          <wp:extent cx="1358195" cy="428978"/>
          <wp:effectExtent l="19050" t="0" r="0" b="0"/>
          <wp:wrapNone/>
          <wp:docPr id="1" name="Imagen 1" descr="logo-CS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CSIC"/>
                  <pic:cNvPicPr>
                    <a:picLocks noChangeAspect="1" noChangeArrowheads="1"/>
                  </pic:cNvPicPr>
                </pic:nvPicPr>
                <pic:blipFill>
                  <a:blip r:embed="rId2"/>
                  <a:srcRect/>
                  <a:stretch>
                    <a:fillRect/>
                  </a:stretch>
                </pic:blipFill>
                <pic:spPr bwMode="auto">
                  <a:xfrm>
                    <a:off x="0" y="0"/>
                    <a:ext cx="1358195" cy="428978"/>
                  </a:xfrm>
                  <a:prstGeom prst="rect">
                    <a:avLst/>
                  </a:prstGeom>
                  <a:noFill/>
                  <a:ln w="9525">
                    <a:noFill/>
                    <a:miter lim="800000"/>
                    <a:headEnd/>
                    <a:tailEnd/>
                  </a:ln>
                </pic:spPr>
              </pic:pic>
            </a:graphicData>
          </a:graphic>
        </wp:anchor>
      </w:drawing>
    </w:r>
    <w:r>
      <w:rPr>
        <w:noProof/>
        <w:lang w:eastAsia="es-ES"/>
      </w:rPr>
      <w:t xml:space="preserve">                                                                                                     </w:t>
    </w:r>
    <w:r w:rsidR="009B6A1C">
      <w:rPr>
        <w:noProof/>
        <w:lang w:eastAsia="es-ES"/>
      </w:rPr>
      <w:pict>
        <v:shapetype id="_x0000_t32" coordsize="21600,21600" o:spt="32" o:oned="t" path="m,l21600,21600e" filled="f">
          <v:path arrowok="t" fillok="f" o:connecttype="none"/>
          <o:lock v:ext="edit" shapetype="t"/>
        </v:shapetype>
        <v:shape id="_x0000_s2049" type="#_x0000_t32" style="position:absolute;left:0;text-align:left;margin-left:-18.4pt;margin-top:29.5pt;width:459.55pt;height:0;z-index:251658240;mso-position-horizontal-relative:text;mso-position-vertical-relative:text" o:connectortype="straight" strokecolor="#548dd4 [1951]"/>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9761D2"/>
    <w:multiLevelType w:val="multilevel"/>
    <w:tmpl w:val="0C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
    <w:nsid w:val="795C051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grammar="clean"/>
  <w:defaultTabStop w:val="708"/>
  <w:hyphenationZone w:val="425"/>
  <w:characterSpacingControl w:val="doNotCompress"/>
  <w:hdrShapeDefaults>
    <o:shapedefaults v:ext="edit" spidmax="3074">
      <o:colormenu v:ext="edit" strokecolor="none [1951]"/>
    </o:shapedefaults>
    <o:shapelayout v:ext="edit">
      <o:idmap v:ext="edit" data="2"/>
      <o:rules v:ext="edit">
        <o:r id="V:Rule2" type="connector" idref="#_x0000_s2049"/>
      </o:rules>
    </o:shapelayout>
  </w:hdrShapeDefaults>
  <w:footnotePr>
    <w:footnote w:id="-1"/>
    <w:footnote w:id="0"/>
  </w:footnotePr>
  <w:endnotePr>
    <w:endnote w:id="-1"/>
    <w:endnote w:id="0"/>
  </w:endnotePr>
  <w:compat/>
  <w:rsids>
    <w:rsidRoot w:val="002D0905"/>
    <w:rsid w:val="000552C7"/>
    <w:rsid w:val="000817B7"/>
    <w:rsid w:val="000C64E8"/>
    <w:rsid w:val="001260B2"/>
    <w:rsid w:val="002D0905"/>
    <w:rsid w:val="002E40E6"/>
    <w:rsid w:val="003455D9"/>
    <w:rsid w:val="003B7B10"/>
    <w:rsid w:val="00444A55"/>
    <w:rsid w:val="0046417F"/>
    <w:rsid w:val="004922CA"/>
    <w:rsid w:val="00600473"/>
    <w:rsid w:val="00672596"/>
    <w:rsid w:val="00772569"/>
    <w:rsid w:val="008B2DAD"/>
    <w:rsid w:val="009400E1"/>
    <w:rsid w:val="009A4CF1"/>
    <w:rsid w:val="009B6A1C"/>
    <w:rsid w:val="00B01A22"/>
    <w:rsid w:val="00B75E6B"/>
    <w:rsid w:val="00C24C3F"/>
    <w:rsid w:val="00C61F34"/>
    <w:rsid w:val="00EA47B4"/>
    <w:rsid w:val="00F70F4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strokecolor="none [1951]"/>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2DAD"/>
    <w:pPr>
      <w:jc w:val="both"/>
    </w:pPr>
  </w:style>
  <w:style w:type="paragraph" w:styleId="Ttulo1">
    <w:name w:val="heading 1"/>
    <w:basedOn w:val="Normal"/>
    <w:next w:val="Normal"/>
    <w:link w:val="Ttulo1Car"/>
    <w:uiPriority w:val="9"/>
    <w:qFormat/>
    <w:rsid w:val="00C61F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E40E6"/>
    <w:pPr>
      <w:keepNext/>
      <w:keepLines/>
      <w:spacing w:before="200" w:after="0"/>
      <w:outlineLvl w:val="1"/>
    </w:pPr>
    <w:rPr>
      <w:rFonts w:eastAsiaTheme="majorEastAsia" w:cstheme="majorBidi"/>
      <w:b/>
      <w:bCs/>
      <w:sz w:val="26"/>
      <w:szCs w:val="26"/>
    </w:rPr>
  </w:style>
  <w:style w:type="paragraph" w:styleId="Ttulo3">
    <w:name w:val="heading 3"/>
    <w:basedOn w:val="Normal"/>
    <w:next w:val="Normal"/>
    <w:link w:val="Ttulo3Car"/>
    <w:uiPriority w:val="9"/>
    <w:unhideWhenUsed/>
    <w:qFormat/>
    <w:rsid w:val="002E40E6"/>
    <w:pPr>
      <w:keepNext/>
      <w:keepLines/>
      <w:spacing w:before="200" w:after="0"/>
      <w:outlineLvl w:val="2"/>
    </w:pPr>
    <w:rPr>
      <w:rFonts w:eastAsiaTheme="majorEastAsia" w:cstheme="majorBidi"/>
      <w:b/>
      <w:bCs/>
    </w:rPr>
  </w:style>
  <w:style w:type="paragraph" w:styleId="Ttulo4">
    <w:name w:val="heading 4"/>
    <w:basedOn w:val="Normal"/>
    <w:next w:val="Normal"/>
    <w:link w:val="Ttulo4Car"/>
    <w:uiPriority w:val="9"/>
    <w:unhideWhenUsed/>
    <w:qFormat/>
    <w:rsid w:val="009400E1"/>
    <w:pPr>
      <w:keepNext/>
      <w:keepLines/>
      <w:spacing w:before="200" w:after="0"/>
      <w:outlineLvl w:val="3"/>
    </w:pPr>
    <w:rPr>
      <w:rFonts w:eastAsiaTheme="majorEastAsia" w:cstheme="majorBidi"/>
      <w:b/>
      <w:bCs/>
      <w:iCs/>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70F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ombreadoclaro-nfasis1">
    <w:name w:val="Light Shading Accent 1"/>
    <w:basedOn w:val="Tablanormal"/>
    <w:uiPriority w:val="60"/>
    <w:rsid w:val="00C24C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Epgrafe">
    <w:name w:val="caption"/>
    <w:basedOn w:val="Normal"/>
    <w:next w:val="Normal"/>
    <w:uiPriority w:val="35"/>
    <w:unhideWhenUsed/>
    <w:qFormat/>
    <w:rsid w:val="003455D9"/>
    <w:pPr>
      <w:spacing w:line="240" w:lineRule="auto"/>
    </w:pPr>
    <w:rPr>
      <w:b/>
      <w:bCs/>
      <w:color w:val="4F81BD" w:themeColor="accent1"/>
      <w:sz w:val="18"/>
      <w:szCs w:val="18"/>
    </w:rPr>
  </w:style>
  <w:style w:type="character" w:customStyle="1" w:styleId="Ttulo2Car">
    <w:name w:val="Título 2 Car"/>
    <w:basedOn w:val="Fuentedeprrafopredeter"/>
    <w:link w:val="Ttulo2"/>
    <w:uiPriority w:val="9"/>
    <w:rsid w:val="002E40E6"/>
    <w:rPr>
      <w:rFonts w:eastAsiaTheme="majorEastAsia" w:cstheme="majorBidi"/>
      <w:b/>
      <w:bCs/>
      <w:sz w:val="26"/>
      <w:szCs w:val="26"/>
    </w:rPr>
  </w:style>
  <w:style w:type="character" w:customStyle="1" w:styleId="Ttulo3Car">
    <w:name w:val="Título 3 Car"/>
    <w:basedOn w:val="Fuentedeprrafopredeter"/>
    <w:link w:val="Ttulo3"/>
    <w:uiPriority w:val="9"/>
    <w:rsid w:val="002E40E6"/>
    <w:rPr>
      <w:rFonts w:eastAsiaTheme="majorEastAsia" w:cstheme="majorBidi"/>
      <w:b/>
      <w:bCs/>
    </w:rPr>
  </w:style>
  <w:style w:type="character" w:customStyle="1" w:styleId="Ttulo4Car">
    <w:name w:val="Título 4 Car"/>
    <w:basedOn w:val="Fuentedeprrafopredeter"/>
    <w:link w:val="Ttulo4"/>
    <w:uiPriority w:val="9"/>
    <w:rsid w:val="009400E1"/>
    <w:rPr>
      <w:rFonts w:eastAsiaTheme="majorEastAsia" w:cstheme="majorBidi"/>
      <w:b/>
      <w:bCs/>
      <w:iCs/>
    </w:rPr>
  </w:style>
  <w:style w:type="paragraph" w:styleId="Prrafodelista">
    <w:name w:val="List Paragraph"/>
    <w:basedOn w:val="Normal"/>
    <w:uiPriority w:val="34"/>
    <w:qFormat/>
    <w:rsid w:val="008B2DAD"/>
    <w:pPr>
      <w:ind w:left="720"/>
      <w:contextualSpacing/>
    </w:pPr>
  </w:style>
  <w:style w:type="character" w:customStyle="1" w:styleId="Ttulo1Car">
    <w:name w:val="Título 1 Car"/>
    <w:basedOn w:val="Fuentedeprrafopredeter"/>
    <w:link w:val="Ttulo1"/>
    <w:uiPriority w:val="9"/>
    <w:rsid w:val="00C61F34"/>
    <w:rPr>
      <w:rFonts w:asciiTheme="majorHAnsi" w:eastAsiaTheme="majorEastAsia" w:hAnsiTheme="majorHAnsi" w:cstheme="majorBidi"/>
      <w:b/>
      <w:bCs/>
      <w:color w:val="365F91" w:themeColor="accent1" w:themeShade="BF"/>
      <w:sz w:val="28"/>
      <w:szCs w:val="28"/>
    </w:rPr>
  </w:style>
  <w:style w:type="paragraph" w:styleId="Encabezado">
    <w:name w:val="header"/>
    <w:basedOn w:val="Normal"/>
    <w:link w:val="EncabezadoCar"/>
    <w:uiPriority w:val="99"/>
    <w:semiHidden/>
    <w:unhideWhenUsed/>
    <w:rsid w:val="009B6A1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9B6A1C"/>
  </w:style>
  <w:style w:type="paragraph" w:styleId="Piedepgina">
    <w:name w:val="footer"/>
    <w:basedOn w:val="Normal"/>
    <w:link w:val="PiedepginaCar"/>
    <w:uiPriority w:val="99"/>
    <w:unhideWhenUsed/>
    <w:rsid w:val="009B6A1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B6A1C"/>
  </w:style>
  <w:style w:type="paragraph" w:styleId="Textodeglobo">
    <w:name w:val="Balloon Text"/>
    <w:basedOn w:val="Normal"/>
    <w:link w:val="TextodegloboCar"/>
    <w:uiPriority w:val="99"/>
    <w:semiHidden/>
    <w:unhideWhenUsed/>
    <w:rsid w:val="009B6A1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B6A1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801687">
      <w:bodyDiv w:val="1"/>
      <w:marLeft w:val="0"/>
      <w:marRight w:val="0"/>
      <w:marTop w:val="0"/>
      <w:marBottom w:val="0"/>
      <w:divBdr>
        <w:top w:val="none" w:sz="0" w:space="0" w:color="auto"/>
        <w:left w:val="none" w:sz="0" w:space="0" w:color="auto"/>
        <w:bottom w:val="none" w:sz="0" w:space="0" w:color="auto"/>
        <w:right w:val="none" w:sz="0" w:space="0" w:color="auto"/>
      </w:divBdr>
    </w:div>
    <w:div w:id="144395603">
      <w:bodyDiv w:val="1"/>
      <w:marLeft w:val="0"/>
      <w:marRight w:val="0"/>
      <w:marTop w:val="0"/>
      <w:marBottom w:val="0"/>
      <w:divBdr>
        <w:top w:val="none" w:sz="0" w:space="0" w:color="auto"/>
        <w:left w:val="none" w:sz="0" w:space="0" w:color="auto"/>
        <w:bottom w:val="none" w:sz="0" w:space="0" w:color="auto"/>
        <w:right w:val="none" w:sz="0" w:space="0" w:color="auto"/>
      </w:divBdr>
    </w:div>
    <w:div w:id="259922210">
      <w:bodyDiv w:val="1"/>
      <w:marLeft w:val="0"/>
      <w:marRight w:val="0"/>
      <w:marTop w:val="0"/>
      <w:marBottom w:val="0"/>
      <w:divBdr>
        <w:top w:val="none" w:sz="0" w:space="0" w:color="auto"/>
        <w:left w:val="none" w:sz="0" w:space="0" w:color="auto"/>
        <w:bottom w:val="none" w:sz="0" w:space="0" w:color="auto"/>
        <w:right w:val="none" w:sz="0" w:space="0" w:color="auto"/>
      </w:divBdr>
    </w:div>
    <w:div w:id="446049464">
      <w:bodyDiv w:val="1"/>
      <w:marLeft w:val="0"/>
      <w:marRight w:val="0"/>
      <w:marTop w:val="0"/>
      <w:marBottom w:val="0"/>
      <w:divBdr>
        <w:top w:val="none" w:sz="0" w:space="0" w:color="auto"/>
        <w:left w:val="none" w:sz="0" w:space="0" w:color="auto"/>
        <w:bottom w:val="none" w:sz="0" w:space="0" w:color="auto"/>
        <w:right w:val="none" w:sz="0" w:space="0" w:color="auto"/>
      </w:divBdr>
    </w:div>
    <w:div w:id="506217247">
      <w:bodyDiv w:val="1"/>
      <w:marLeft w:val="0"/>
      <w:marRight w:val="0"/>
      <w:marTop w:val="0"/>
      <w:marBottom w:val="0"/>
      <w:divBdr>
        <w:top w:val="none" w:sz="0" w:space="0" w:color="auto"/>
        <w:left w:val="none" w:sz="0" w:space="0" w:color="auto"/>
        <w:bottom w:val="none" w:sz="0" w:space="0" w:color="auto"/>
        <w:right w:val="none" w:sz="0" w:space="0" w:color="auto"/>
      </w:divBdr>
    </w:div>
    <w:div w:id="636834908">
      <w:bodyDiv w:val="1"/>
      <w:marLeft w:val="0"/>
      <w:marRight w:val="0"/>
      <w:marTop w:val="0"/>
      <w:marBottom w:val="0"/>
      <w:divBdr>
        <w:top w:val="none" w:sz="0" w:space="0" w:color="auto"/>
        <w:left w:val="none" w:sz="0" w:space="0" w:color="auto"/>
        <w:bottom w:val="none" w:sz="0" w:space="0" w:color="auto"/>
        <w:right w:val="none" w:sz="0" w:space="0" w:color="auto"/>
      </w:divBdr>
    </w:div>
    <w:div w:id="804392244">
      <w:bodyDiv w:val="1"/>
      <w:marLeft w:val="0"/>
      <w:marRight w:val="0"/>
      <w:marTop w:val="0"/>
      <w:marBottom w:val="0"/>
      <w:divBdr>
        <w:top w:val="none" w:sz="0" w:space="0" w:color="auto"/>
        <w:left w:val="none" w:sz="0" w:space="0" w:color="auto"/>
        <w:bottom w:val="none" w:sz="0" w:space="0" w:color="auto"/>
        <w:right w:val="none" w:sz="0" w:space="0" w:color="auto"/>
      </w:divBdr>
    </w:div>
    <w:div w:id="833423015">
      <w:bodyDiv w:val="1"/>
      <w:marLeft w:val="0"/>
      <w:marRight w:val="0"/>
      <w:marTop w:val="0"/>
      <w:marBottom w:val="0"/>
      <w:divBdr>
        <w:top w:val="none" w:sz="0" w:space="0" w:color="auto"/>
        <w:left w:val="none" w:sz="0" w:space="0" w:color="auto"/>
        <w:bottom w:val="none" w:sz="0" w:space="0" w:color="auto"/>
        <w:right w:val="none" w:sz="0" w:space="0" w:color="auto"/>
      </w:divBdr>
    </w:div>
    <w:div w:id="916330718">
      <w:bodyDiv w:val="1"/>
      <w:marLeft w:val="0"/>
      <w:marRight w:val="0"/>
      <w:marTop w:val="0"/>
      <w:marBottom w:val="0"/>
      <w:divBdr>
        <w:top w:val="none" w:sz="0" w:space="0" w:color="auto"/>
        <w:left w:val="none" w:sz="0" w:space="0" w:color="auto"/>
        <w:bottom w:val="none" w:sz="0" w:space="0" w:color="auto"/>
        <w:right w:val="none" w:sz="0" w:space="0" w:color="auto"/>
      </w:divBdr>
      <w:divsChild>
        <w:div w:id="939529252">
          <w:marLeft w:val="0"/>
          <w:marRight w:val="0"/>
          <w:marTop w:val="0"/>
          <w:marBottom w:val="0"/>
          <w:divBdr>
            <w:top w:val="none" w:sz="0" w:space="0" w:color="auto"/>
            <w:left w:val="none" w:sz="0" w:space="0" w:color="auto"/>
            <w:bottom w:val="none" w:sz="0" w:space="0" w:color="auto"/>
            <w:right w:val="none" w:sz="0" w:space="0" w:color="auto"/>
          </w:divBdr>
        </w:div>
      </w:divsChild>
    </w:div>
    <w:div w:id="1057167590">
      <w:bodyDiv w:val="1"/>
      <w:marLeft w:val="0"/>
      <w:marRight w:val="0"/>
      <w:marTop w:val="0"/>
      <w:marBottom w:val="0"/>
      <w:divBdr>
        <w:top w:val="none" w:sz="0" w:space="0" w:color="auto"/>
        <w:left w:val="none" w:sz="0" w:space="0" w:color="auto"/>
        <w:bottom w:val="none" w:sz="0" w:space="0" w:color="auto"/>
        <w:right w:val="none" w:sz="0" w:space="0" w:color="auto"/>
      </w:divBdr>
    </w:div>
    <w:div w:id="1139569468">
      <w:bodyDiv w:val="1"/>
      <w:marLeft w:val="0"/>
      <w:marRight w:val="0"/>
      <w:marTop w:val="0"/>
      <w:marBottom w:val="0"/>
      <w:divBdr>
        <w:top w:val="none" w:sz="0" w:space="0" w:color="auto"/>
        <w:left w:val="none" w:sz="0" w:space="0" w:color="auto"/>
        <w:bottom w:val="none" w:sz="0" w:space="0" w:color="auto"/>
        <w:right w:val="none" w:sz="0" w:space="0" w:color="auto"/>
      </w:divBdr>
    </w:div>
    <w:div w:id="1202590342">
      <w:bodyDiv w:val="1"/>
      <w:marLeft w:val="0"/>
      <w:marRight w:val="0"/>
      <w:marTop w:val="0"/>
      <w:marBottom w:val="0"/>
      <w:divBdr>
        <w:top w:val="none" w:sz="0" w:space="0" w:color="auto"/>
        <w:left w:val="none" w:sz="0" w:space="0" w:color="auto"/>
        <w:bottom w:val="none" w:sz="0" w:space="0" w:color="auto"/>
        <w:right w:val="none" w:sz="0" w:space="0" w:color="auto"/>
      </w:divBdr>
    </w:div>
    <w:div w:id="1427312111">
      <w:bodyDiv w:val="1"/>
      <w:marLeft w:val="0"/>
      <w:marRight w:val="0"/>
      <w:marTop w:val="0"/>
      <w:marBottom w:val="0"/>
      <w:divBdr>
        <w:top w:val="none" w:sz="0" w:space="0" w:color="auto"/>
        <w:left w:val="none" w:sz="0" w:space="0" w:color="auto"/>
        <w:bottom w:val="none" w:sz="0" w:space="0" w:color="auto"/>
        <w:right w:val="none" w:sz="0" w:space="0" w:color="auto"/>
      </w:divBdr>
    </w:div>
    <w:div w:id="1505783757">
      <w:bodyDiv w:val="1"/>
      <w:marLeft w:val="0"/>
      <w:marRight w:val="0"/>
      <w:marTop w:val="0"/>
      <w:marBottom w:val="0"/>
      <w:divBdr>
        <w:top w:val="none" w:sz="0" w:space="0" w:color="auto"/>
        <w:left w:val="none" w:sz="0" w:space="0" w:color="auto"/>
        <w:bottom w:val="none" w:sz="0" w:space="0" w:color="auto"/>
        <w:right w:val="none" w:sz="0" w:space="0" w:color="auto"/>
      </w:divBdr>
      <w:divsChild>
        <w:div w:id="1407529353">
          <w:marLeft w:val="0"/>
          <w:marRight w:val="0"/>
          <w:marTop w:val="0"/>
          <w:marBottom w:val="0"/>
          <w:divBdr>
            <w:top w:val="none" w:sz="0" w:space="0" w:color="auto"/>
            <w:left w:val="none" w:sz="0" w:space="0" w:color="auto"/>
            <w:bottom w:val="none" w:sz="0" w:space="0" w:color="auto"/>
            <w:right w:val="none" w:sz="0" w:space="0" w:color="auto"/>
          </w:divBdr>
        </w:div>
      </w:divsChild>
    </w:div>
    <w:div w:id="1673412156">
      <w:bodyDiv w:val="1"/>
      <w:marLeft w:val="0"/>
      <w:marRight w:val="0"/>
      <w:marTop w:val="0"/>
      <w:marBottom w:val="0"/>
      <w:divBdr>
        <w:top w:val="none" w:sz="0" w:space="0" w:color="auto"/>
        <w:left w:val="none" w:sz="0" w:space="0" w:color="auto"/>
        <w:bottom w:val="none" w:sz="0" w:space="0" w:color="auto"/>
        <w:right w:val="none" w:sz="0" w:space="0" w:color="auto"/>
      </w:divBdr>
    </w:div>
    <w:div w:id="1676689474">
      <w:bodyDiv w:val="1"/>
      <w:marLeft w:val="0"/>
      <w:marRight w:val="0"/>
      <w:marTop w:val="0"/>
      <w:marBottom w:val="0"/>
      <w:divBdr>
        <w:top w:val="none" w:sz="0" w:space="0" w:color="auto"/>
        <w:left w:val="none" w:sz="0" w:space="0" w:color="auto"/>
        <w:bottom w:val="none" w:sz="0" w:space="0" w:color="auto"/>
        <w:right w:val="none" w:sz="0" w:space="0" w:color="auto"/>
      </w:divBdr>
    </w:div>
    <w:div w:id="1941986766">
      <w:bodyDiv w:val="1"/>
      <w:marLeft w:val="0"/>
      <w:marRight w:val="0"/>
      <w:marTop w:val="0"/>
      <w:marBottom w:val="0"/>
      <w:divBdr>
        <w:top w:val="none" w:sz="0" w:space="0" w:color="auto"/>
        <w:left w:val="none" w:sz="0" w:space="0" w:color="auto"/>
        <w:bottom w:val="none" w:sz="0" w:space="0" w:color="auto"/>
        <w:right w:val="none" w:sz="0" w:space="0" w:color="auto"/>
      </w:divBdr>
    </w:div>
    <w:div w:id="1948924403">
      <w:bodyDiv w:val="1"/>
      <w:marLeft w:val="0"/>
      <w:marRight w:val="0"/>
      <w:marTop w:val="0"/>
      <w:marBottom w:val="0"/>
      <w:divBdr>
        <w:top w:val="none" w:sz="0" w:space="0" w:color="auto"/>
        <w:left w:val="none" w:sz="0" w:space="0" w:color="auto"/>
        <w:bottom w:val="none" w:sz="0" w:space="0" w:color="auto"/>
        <w:right w:val="none" w:sz="0" w:space="0" w:color="auto"/>
      </w:divBdr>
    </w:div>
    <w:div w:id="1969512545">
      <w:bodyDiv w:val="1"/>
      <w:marLeft w:val="0"/>
      <w:marRight w:val="0"/>
      <w:marTop w:val="0"/>
      <w:marBottom w:val="0"/>
      <w:divBdr>
        <w:top w:val="none" w:sz="0" w:space="0" w:color="auto"/>
        <w:left w:val="none" w:sz="0" w:space="0" w:color="auto"/>
        <w:bottom w:val="none" w:sz="0" w:space="0" w:color="auto"/>
        <w:right w:val="none" w:sz="0" w:space="0" w:color="auto"/>
      </w:divBdr>
    </w:div>
    <w:div w:id="2006787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B23A6FF-E8F8-42F6-9A7C-525F7445D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5</Pages>
  <Words>1584</Words>
  <Characters>8712</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10276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ifraga</dc:creator>
  <cp:lastModifiedBy>ifraga</cp:lastModifiedBy>
  <cp:revision>6</cp:revision>
  <dcterms:created xsi:type="dcterms:W3CDTF">2022-11-30T09:02:00Z</dcterms:created>
  <dcterms:modified xsi:type="dcterms:W3CDTF">2022-11-30T12:30:00Z</dcterms:modified>
</cp:coreProperties>
</file>