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Layout w:type="fixed"/>
        <w:tblLook w:val="000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8343"/>
        <w:tblGridChange w:id="0">
          <w:tblGrid>
            <w:gridCol w:w="487"/>
            <w:gridCol w:w="834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Agenda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de Planificación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Fechas Futuras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Acuerdos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650"/>
        <w:gridCol w:w="1155"/>
        <w:tblGridChange w:id="0">
          <w:tblGrid>
            <w:gridCol w:w="3000"/>
            <w:gridCol w:w="4650"/>
            <w:gridCol w:w="115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Asistentes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Felipe Antonio Krauss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Pedro Mallea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Full-Stack Developer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Engineer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Avance de Planificación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8"/>
        <w:gridCol w:w="1638"/>
        <w:gridCol w:w="2944"/>
        <w:tblGridChange w:id="0">
          <w:tblGrid>
            <w:gridCol w:w="4248"/>
            <w:gridCol w:w="1638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Actividad Comprometida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Semana Comprometida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Supabase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BBDD desarrollada utilizando Supabase. Se evidencia mediante un reconocimiento de las tablas presentes.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al avance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Acuerdos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Acuerdos Anteriores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3529"/>
        <w:gridCol w:w="1461"/>
        <w:gridCol w:w="1050"/>
        <w:gridCol w:w="1139"/>
        <w:gridCol w:w="1651"/>
        <w:tblGridChange w:id="0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Acuerdos de la presente reunión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4957"/>
        <w:gridCol w:w="1701"/>
        <w:gridCol w:w="2126"/>
        <w:tblGridChange w:id="0">
          <w:tblGrid>
            <w:gridCol w:w="4957"/>
            <w:gridCol w:w="1701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2" w:w="12242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83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5"/>
      <w:gridCol w:w="2725"/>
      <w:gridCol w:w="1180"/>
      <w:tblGridChange w:id="0">
        <w:tblGrid>
          <w:gridCol w:w="4925"/>
          <w:gridCol w:w="2725"/>
          <w:gridCol w:w="1180"/>
        </w:tblGrid>
      </w:tblGridChange>
    </w:tblGrid>
    <w:tr>
      <w:trPr>
        <w:cantSplit w:val="1"/>
        <w:trHeight w:val="12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057756" cy="67374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360" w:right="0" w:hanging="36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Acta de Control de Avance</w:t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i w:val="1"/>
      <w:iCs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  <w:u w:val="singl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