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0F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135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adguard-logo-oscu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b/>
                <w:i w:val="0"/>
                <w:color w:val="F2F5F8"/>
                <w:sz w:val="36"/>
              </w:rPr>
              <w:t>Bitácora 1 — avance al 2026-10-21</w:t>
            </w:r>
          </w:p>
          <w:p>
            <w:r>
              <w:rPr>
                <w:rFonts w:ascii="Arial" w:hAnsi="Arial"/>
                <w:b w:val="0"/>
                <w:i w:val="0"/>
                <w:color w:val="9AA6B2"/>
                <w:sz w:val="18"/>
              </w:rPr>
              <w:t>TEL-328 Procesamiento Digital de Imágenes · Castillo · Jobse · Ricci · Zúñiga</w:t>
            </w:r>
          </w:p>
        </w:tc>
      </w:tr>
    </w:tbl>
    <w:p/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Período</w:t>
      </w:r>
    </w:p>
    <w:p>
      <w:r>
        <w:rPr>
          <w:rFonts w:ascii="Arial" w:hAnsi="Arial"/>
          <w:b w:val="0"/>
          <w:i w:val="0"/>
          <w:color w:val="141B24"/>
        </w:rPr>
        <w:t>Del 2026-09-11 (inscripción) al 2026-10-21.</w:t>
      </w:r>
    </w:p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Resumen</w:t>
      </w:r>
    </w:p>
    <w:p>
      <w:r>
        <w:rPr>
          <w:rFonts w:ascii="Arial" w:hAnsi="Arial"/>
          <w:b w:val="0"/>
          <w:i w:val="0"/>
          <w:color w:val="141B24"/>
        </w:rPr>
        <w:t>Están implementados y testeados la base compartida y los módulos de percepción y geometría: ingesta y configuración (M1), detección con YOLOv8n y seguimiento con ByteTrack (M2), y homografía, carriles, trayectorias causales y relaciones viales con THW y TTC (M3). Tienen 57 tests unitarios que cubren los casos límite de §2.5 que les corresponden. Además existe la referencia de reglas sobre trayectorias reales de NGSIM y el cálculo de F1 de eventos (M6), con 23 tests. En total hay 80 tests. Faltan el motor de reglas (M4), las salidas (M5), la integración y las mediciones de §2.5.</w:t>
      </w:r>
    </w:p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Avance por actividad (§3.3)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3"/>
          </w:tcPr>
          <w:p>
            <w:r>
              <w:rPr>
                <w:rFonts w:ascii="Arial" w:hAnsi="Arial"/>
                <w:b/>
                <w:i w:val="0"/>
                <w:color w:val="141B24"/>
                <w:sz w:val="18"/>
              </w:rPr>
              <w:t>Actividad</w:t>
            </w:r>
          </w:p>
        </w:tc>
        <w:tc>
          <w:tcPr>
            <w:tcW w:type="dxa" w:w="2436"/>
            <w:shd w:val="clear" w:color="auto" w:fill="E8EDF3"/>
          </w:tcPr>
          <w:p>
            <w:r>
              <w:rPr>
                <w:rFonts w:ascii="Arial" w:hAnsi="Arial"/>
                <w:b/>
                <w:i w:val="0"/>
                <w:color w:val="141B24"/>
                <w:sz w:val="18"/>
              </w:rPr>
              <w:t>Responsable</w:t>
            </w:r>
          </w:p>
        </w:tc>
        <w:tc>
          <w:tcPr>
            <w:tcW w:type="dxa" w:w="2436"/>
            <w:shd w:val="clear" w:color="auto" w:fill="E8EDF3"/>
          </w:tcPr>
          <w:p>
            <w:r>
              <w:rPr>
                <w:rFonts w:ascii="Arial" w:hAnsi="Arial"/>
                <w:b/>
                <w:i w:val="0"/>
                <w:color w:val="141B24"/>
                <w:sz w:val="18"/>
              </w:rPr>
              <w:t>Qué hay</w:t>
            </w:r>
          </w:p>
        </w:tc>
        <w:tc>
          <w:tcPr>
            <w:tcW w:type="dxa" w:w="2436"/>
            <w:shd w:val="clear" w:color="auto" w:fill="E8EDF3"/>
          </w:tcPr>
          <w:p>
            <w:r>
              <w:rPr>
                <w:rFonts w:ascii="Arial" w:hAnsi="Arial"/>
                <w:b/>
                <w:i w:val="0"/>
                <w:color w:val="141B24"/>
                <w:sz w:val="18"/>
              </w:rPr>
              <w:t>Evidencia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Investigación, acceso y selección de datos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Z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NGSIM elegido como referencia de reglas; muestra de 60 s de US-101 descargada y convertida; protocolo de evaluación escrito; 3 secuencias UA-DETRAC elegidas tras resumir las 40 de prueba (MVI_39271 base, MVI_40714 densa, MVI_40742 noche), con notas de calibración</w:t>
            </w:r>
          </w:p>
        </w:tc>
        <w:tc>
          <w:tcPr>
            <w:tcW w:type="dxa" w:w="2436"/>
          </w:tcPr>
          <w:p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m6_evaluacion/ngsim.py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ua_detrac.py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, ADR-0001, PRD de datos y evaluación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Detección y seguimiento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J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YOLOv8n preentrenado con mapeo explícito COCO → automóvil, bus, camión y motocicleta, y filtro por región de interés. ByteTrack implementado sobre NumPy y SciPy, independiente del detector: filtro de Kalman, doble asociación por confianza (la de confianza baja recupera vehículos parcialmente ocluidos) y un buffer que conserva el ID durante oclusiones breves. Además implementó el contrato de datos y M1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PR #1, </w:t>
            </w:r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m2_deteccion/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, 10 tests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Perspectiva, carriles y trayectorias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R (implementó J)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Homografía al plano del camino; sin calibración, los campos métricos quedan no disponibles. Asignación de carril con confianza y confirmación de cambio completo por permanencia. Suavizado causal por mínimos cuadrados en una ventana de 1 s, con reinicio del historial ante saltos imposibles. Predecesor y seguidor por carril, THW y TTC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PR #1, </w:t>
            </w:r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m3_geometria/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, 28 tests (geometría, carriles, relaciones y robustez)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Reglas y puntaje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C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Sin código en </w:t>
            </w:r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main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 al 2026-10-18. Las reglas RF7–RF9 ya se pueden probar sobre trayectorias reales de NGSIM; el plan ajustado cierra M4 el 1-nov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Integración, video y registros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C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Sin código en </w:t>
            </w:r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main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 xml:space="preserve"> al 2026-10-18; el inicio previsto era el 12-oct. En el reparto propuesto pasa a J (integración) y R (video y registros)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Evaluación y optimización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Z</w:t>
            </w:r>
          </w:p>
        </w:tc>
        <w:tc>
          <w:tcPr>
            <w:tcW w:type="dxa" w:w="2436"/>
          </w:tcPr>
          <w:p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Adelantado: referencia de eventos RF7–RF9 y F1 por regla</w:t>
            </w:r>
          </w:p>
        </w:tc>
        <w:tc>
          <w:tcPr>
            <w:tcW w:type="dxa" w:w="2436"/>
          </w:tcPr>
          <w:p>
            <w:r>
              <w:rPr>
                <w:rFonts w:ascii="Courier New" w:hAnsi="Courier New"/>
                <w:b w:val="0"/>
                <w:i w:val="0"/>
                <w:color w:val="141B24"/>
                <w:sz w:val="18"/>
              </w:rPr>
              <w:t>m6_evaluacion/</w:t>
            </w:r>
            <w:r>
              <w:rPr>
                <w:rFonts w:ascii="Arial" w:hAnsi="Arial"/>
                <w:b w:val="0"/>
                <w:i w:val="0"/>
                <w:color w:val="141B24"/>
                <w:sz w:val="18"/>
              </w:rPr>
              <w:t>, 23 tests</w:t>
            </w:r>
          </w:p>
        </w:tc>
      </w:tr>
    </w:tbl>
    <w:p/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Decisiones del período</w:t>
      </w:r>
    </w:p>
    <w:p>
      <w:pPr>
        <w:pStyle w:val="ListBullet"/>
      </w:pPr>
      <w:r>
        <w:rPr>
          <w:rFonts w:ascii="Arial" w:hAnsi="Arial"/>
          <w:b/>
          <w:i w:val="0"/>
          <w:color w:val="141B24"/>
        </w:rPr>
        <w:t>NGSIM reemplaza a highD</w:t>
      </w:r>
      <w:r>
        <w:rPr>
          <w:rFonts w:ascii="Arial" w:hAnsi="Arial"/>
          <w:b w:val="0"/>
          <w:i w:val="0"/>
          <w:color w:val="141B24"/>
        </w:rPr>
        <w:t xml:space="preserve"> como referencia de reglas, aplicando la regla de §4.4 de la propuesta (ADR-0001).</w:t>
      </w:r>
    </w:p>
    <w:p>
      <w:pPr>
        <w:pStyle w:val="ListBullet"/>
      </w:pPr>
      <w:r>
        <w:rPr>
          <w:rFonts w:ascii="Arial" w:hAnsi="Arial"/>
          <w:b/>
          <w:i w:val="0"/>
          <w:color w:val="141B24"/>
        </w:rPr>
        <w:t>El contrato de datos (tipos.py) queda fijo</w:t>
      </w:r>
      <w:r>
        <w:rPr>
          <w:rFonts w:ascii="Arial" w:hAnsi="Arial"/>
          <w:b w:val="0"/>
          <w:i w:val="0"/>
          <w:color w:val="141B24"/>
        </w:rPr>
        <w:t xml:space="preserve"> como interfaz entre módulos: se puede agregar, no renombrar ni quitar.</w:t>
      </w:r>
    </w:p>
    <w:p>
      <w:pPr>
        <w:pStyle w:val="ListBullet"/>
      </w:pPr>
      <w:r>
        <w:rPr>
          <w:rFonts w:ascii="Arial" w:hAnsi="Arial"/>
          <w:b/>
          <w:i w:val="0"/>
          <w:color w:val="141B24"/>
        </w:rPr>
        <w:t>La referencia usa las mismas funciones que M3</w:t>
      </w:r>
      <w:r>
        <w:rPr>
          <w:rFonts w:ascii="Arial" w:hAnsi="Arial"/>
          <w:b w:val="0"/>
          <w:i w:val="0"/>
          <w:color w:val="141B24"/>
        </w:rPr>
        <w:t xml:space="preserve"> para THW, TTC y cambio completo, para que el F1 compare definiciones idénticas.</w:t>
      </w:r>
    </w:p>
    <w:p>
      <w:pPr>
        <w:pStyle w:val="ListBullet"/>
      </w:pPr>
      <w:r>
        <w:rPr>
          <w:rFonts w:ascii="Arial" w:hAnsi="Arial"/>
          <w:b/>
          <w:i w:val="0"/>
          <w:color w:val="141B24"/>
        </w:rPr>
        <w:t>Reparto ajustado</w:t>
      </w:r>
      <w:r>
        <w:rPr>
          <w:rFonts w:ascii="Arial" w:hAnsi="Arial"/>
          <w:b w:val="0"/>
          <w:i w:val="0"/>
          <w:color w:val="141B24"/>
        </w:rPr>
        <w:t xml:space="preserve"> a lo construido, propuesto en ROADMAP y por acordar.</w:t>
      </w:r>
    </w:p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Hallazgo</w:t>
      </w:r>
    </w:p>
    <w:p>
      <w:r>
        <w:rPr>
          <w:rFonts w:ascii="Arial" w:hAnsi="Arial"/>
          <w:b w:val="0"/>
          <w:i w:val="0"/>
          <w:color w:val="141B24"/>
        </w:rPr>
        <w:t>En 60 s de US-101 con tráfico congestionado (270 vehículos, velocidad mediana 12,2 m/s, THW mediano 1,92 s), la regla de cercanía de la propuesta marca al 43 % de los vehículos. En congestión, un THW bajo 1,5 s es lo habitual. Se va a medir en flujo libre antes de concluir, y motiva la propuesta de puntaje por severidad (ADR-0003).</w:t>
      </w:r>
    </w:p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Problemas y desvíos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La selección de datos se atrasó respecto del plan (14–20 sep). Se cerró con NGSIM para reglas y con la elección de 3 secuencias UA-DETRAC el 2026-10-17. El sitio oficial de UA-DETRAC está caído; se usó un espejo público del zip original.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El reparto real se desvió del inscrito: M3 lo implementó J. Se propone reequilibrar (ROADMAP, «Responsables»).</w:t>
      </w:r>
    </w:p>
    <w:p>
      <w:pPr>
        <w:pStyle w:val="ListBullet"/>
      </w:pPr>
      <w:r>
        <w:rPr>
          <w:rFonts w:ascii="Arial" w:hAnsi="Arial"/>
          <w:b/>
          <w:i w:val="0"/>
          <w:color w:val="141B24"/>
        </w:rPr>
        <w:t>M4 se corre una semana:</w:t>
      </w:r>
      <w:r>
        <w:rPr>
          <w:rFonts w:ascii="Arial" w:hAnsi="Arial"/>
          <w:b w:val="0"/>
          <w:i w:val="0"/>
          <w:color w:val="141B24"/>
        </w:rPr>
        <w:t xml:space="preserve"> la propuesta da a reglas y puntaje del 28-sep al 25-oct; el plan ajustado lo cierra el 1-nov, porque al 2026-10-17 M4 no había empezado. La integración (1-nov) y la evaluación (12-nov) se mantienen en las fechas inscritas.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No está verificado si se solicitó acceso a highD el 14-sep.</w:t>
      </w:r>
    </w:p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Próximos pasos (hasta el 2026-11-01)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C: M4 sobre trayectorias NGSIM.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R: calibración de las tres secuencias y M5.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J: integración y CLI.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Z: imágenes completas de las 3 secuencias en MP4 para R y J, degradación de trayectorias y primera medición de F1.</w:t>
      </w:r>
    </w:p>
    <w:p>
      <w:pPr>
        <w:pStyle w:val="Heading1"/>
        <w:pBdr>
          <w:bottom w:val="single" w:sz="12" w:space="4" w:color="4C9AFF"/>
        </w:pBdr>
      </w:pPr>
      <w:r>
        <w:rPr>
          <w:rFonts w:ascii="Arial" w:hAnsi="Arial"/>
          <w:b/>
          <w:i w:val="0"/>
          <w:color w:val="141B24"/>
          <w:sz w:val="28"/>
        </w:rPr>
        <w:t>Propuestas para validar con el docente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Cuarto patrón: velocidad anómala respecto del flujo (ADR-0002).</w:t>
      </w:r>
    </w:p>
    <w:p>
      <w:pPr>
        <w:pStyle w:val="ListBullet"/>
      </w:pPr>
      <w:r>
        <w:rPr>
          <w:rFonts w:ascii="Arial" w:hAnsi="Arial"/>
          <w:b w:val="0"/>
          <w:i w:val="0"/>
          <w:color w:val="141B24"/>
        </w:rPr>
        <w:t>Puntaje ponderado por severidad TET/TIT como modo opcional de RF10 (ADR-0003).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