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6E6A"/>
          <w:sz w:val="18"/>
        </w:rPr>
        <w:t>CONTRAST_MODELS_OVERLAP.IPYNB — REFERENCIA TÉCNICA</w:t>
      </w:r>
    </w:p>
    <w:p>
      <w:pPr>
        <w:spacing w:after="120"/>
      </w:pPr>
      <w:r>
        <w:rPr>
          <w:rFonts w:ascii="Cambria" w:hAnsi="Cambria"/>
          <w:b/>
          <w:color w:val="1B2330"/>
          <w:sz w:val="52"/>
        </w:rPr>
        <w:t>Fórmulas del contraste OGSE</w:t>
      </w:r>
    </w:p>
    <w:p>
      <w:pPr>
        <w:spacing w:after="280"/>
      </w:pPr>
      <w:r>
        <w:rPr>
          <w:color w:val="5C6675"/>
          <w:sz w:val="22"/>
        </w:rPr>
        <w:t>Todas las ecuaciones y convenciones detrás de las curvas del notebook: qué se ajusta en el resampleo, qué se ajusta en cada uno de los cuatro modelos candidatos, y cómo se calculan el gradiente corregido y la longitud de filtrado l_cf.</w:t>
      </w:r>
    </w:p>
    <w:p>
      <w:pPr>
        <w:spacing w:after="80"/>
      </w:pPr>
      <w:r>
        <w:rPr>
          <w:rFonts w:ascii="Consolas" w:hAnsi="Consolas"/>
          <w:color w:val="5C6675"/>
          <w:sz w:val="18"/>
        </w:rPr>
        <w:t>models/model_fitting.py   ·   presentation_analysis/abstract_figures.py</w:t>
      </w:r>
    </w:p>
    <w:p>
      <w:pPr>
        <w:spacing w:after="40"/>
      </w:pPr>
    </w:p>
    <w:p>
      <w:pPr>
        <w:pBdr>
          <w:top w:val="single" w:sz="6" w:space="6" w:color="1B2330"/>
          <w:left w:val="single" w:sz="6" w:space="6" w:color="1B2330"/>
          <w:bottom w:val="single" w:sz="6" w:space="6" w:color="1B2330"/>
          <w:right w:val="single" w:sz="6" w:space="6" w:color="1B2330"/>
        </w:pBdr>
      </w:pPr>
    </w:p>
    <w:p>
      <w:pPr>
        <w:pStyle w:val="Heading1"/>
      </w:pPr>
      <w:r>
        <w:t>1. Notación</w:t>
      </w:r>
    </w:p>
    <w:p>
      <w:pPr>
        <w:spacing w:after="160"/>
      </w:pPr>
      <w:r>
        <w:t>Símbolos comunes a todas las fórmulas de este documento.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Símbolo</w:t>
            </w:r>
          </w:p>
        </w:tc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Significado</w:t>
            </w:r>
          </w:p>
        </w:tc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Unidad / valor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G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magnitud del gradiente de difusión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mT/m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número de lóbulos OGSE de la secuencia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4 u 8 en este notebook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TD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tiempo total de codificación (difusión)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ms — llamado TE en el código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x = TD/N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duración de cada lóbulo OGSE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y = TD−(N−1)x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duración del lóbulo final (tipo spin-echo)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ms — en OGSE, y = x siempre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D0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difusividad intrínseca, FIJA, no se ajusta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3.2e-12 m²/ms (brains) · 2.3e-12 (phantoms)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γ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razón giromagnética del protón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267.522187 rad·ms⁻¹·mT⁻¹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M0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amplitud de señal — siempre 1 en estos ajustes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adimensional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τc (tc)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tiempo de correlación de la difusión restringida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ms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α (alpha)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fracción/escala de tortuosidad, D = alpha·D0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adimensional, [0,1]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piso de señal normalizado (solo etapa de resampleo)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adimensional, [0,2]</w:t>
            </w:r>
          </w:p>
        </w:tc>
      </w:tr>
    </w:tbl>
    <w:p>
      <w:pPr>
        <w:spacing w:after="80"/>
      </w:pPr>
    </w:p>
    <w:p>
      <w:pPr>
        <w:shd w:val="clear" w:color="auto" w:fill="E2F1EF"/>
      </w:pPr>
      <w:r>
        <w:rPr>
          <w:color w:val="1B2330"/>
          <w:sz w:val="20"/>
        </w:rPr>
        <w:t>Como OGSE usa lóbulos de igual duración, x = y = TD/N siempre. Esto simplifica varias expresiones respecto de NOGSE (donde x se varía a N y TD fijos).</w:t>
      </w:r>
    </w:p>
    <w:p>
      <w:pPr>
        <w:pStyle w:val="Heading1"/>
      </w:pPr>
      <w:r>
        <w:t>2. Señal por rama (una sola adquisición N)</w:t>
      </w:r>
    </w:p>
    <w:p>
      <w:pPr>
        <w:spacing w:after="160"/>
      </w:pPr>
      <w:r>
        <w:t>Las cuatro hipótesis físicas para la señal S(G,N) de UNA rama. El contraste (sección 3) siempre es la resta entre dos evaluaciones del mismo modelo, una por N.</w:t>
      </w:r>
    </w:p>
    <w:p>
      <w:pPr>
        <w:spacing w:before="280" w:after="40"/>
      </w:pPr>
      <w:r>
        <w:rPr>
          <w:color w:val="1F77B4"/>
          <w:sz w:val="24"/>
        </w:rPr>
        <w:t xml:space="preserve">● </w:t>
      </w:r>
      <w:r>
        <w:rPr>
          <w:rFonts w:ascii="Cambria" w:hAnsi="Cambria"/>
          <w:b/>
          <w:color w:val="1F77B4"/>
          <w:sz w:val="26"/>
        </w:rPr>
        <w:t>free — difusión libre (gaussiana)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free</w:t>
      </w:r>
      <w:r>
        <w:rPr>
          <w:rFonts w:ascii="Cambria Math" w:hAnsi="Cambria Math"/>
          <w:b w:val="0"/>
          <w:i w:val="0"/>
          <w:color w:val="1B2330"/>
          <w:sz w:val="26"/>
        </w:rPr>
        <w:t>(G,N) = M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0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· exp[−(1/12)γ²G²D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0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· ((N−1)x³+y³)]</w:t>
      </w:r>
    </w:p>
    <w:p>
      <w:pPr>
        <w:spacing w:after="200"/>
      </w:pPr>
      <w:r>
        <w:rPr>
          <w:i w:val="0"/>
          <w:color w:val="5C6675"/>
          <w:sz w:val="19"/>
        </w:rPr>
        <w:t>M_ogse_free — con y=x, el corchete es N·x³.</w:t>
      </w:r>
    </w:p>
    <w:p>
      <w:pPr>
        <w:spacing w:before="280" w:after="40"/>
      </w:pPr>
      <w:r>
        <w:rPr>
          <w:color w:val="1F8B3B"/>
          <w:sz w:val="24"/>
        </w:rPr>
        <w:t xml:space="preserve">● </w:t>
      </w:r>
      <w:r>
        <w:rPr>
          <w:rFonts w:ascii="Cambria" w:hAnsi="Cambria"/>
          <w:b/>
          <w:color w:val="1F8B3B"/>
          <w:sz w:val="26"/>
        </w:rPr>
        <w:t>tort — tortuosidad macroscópica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tort</w:t>
      </w:r>
      <w:r>
        <w:rPr>
          <w:rFonts w:ascii="Cambria Math" w:hAnsi="Cambria Math"/>
          <w:b w:val="0"/>
          <w:i w:val="0"/>
          <w:color w:val="1B2330"/>
          <w:sz w:val="26"/>
        </w:rPr>
        <w:t>(G,N;α) = 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free</w:t>
      </w:r>
      <w:r>
        <w:rPr>
          <w:rFonts w:ascii="Cambria Math" w:hAnsi="Cambria Math"/>
          <w:b w:val="0"/>
          <w:i w:val="0"/>
          <w:color w:val="1B2330"/>
          <w:sz w:val="26"/>
        </w:rPr>
        <w:t>(G,N ; D0→αD0)</w:t>
      </w:r>
    </w:p>
    <w:p>
      <w:pPr>
        <w:spacing w:after="200"/>
      </w:pPr>
      <w:r>
        <w:rPr>
          <w:i w:val="0"/>
          <w:color w:val="5C6675"/>
          <w:sz w:val="19"/>
        </w:rPr>
        <w:t>M_ogse_tort — sin parámetros nuevos: reusa M_ogse_free con D0 reemplazado por alpha·D0.</w:t>
      </w:r>
    </w:p>
    <w:p>
      <w:pPr>
        <w:spacing w:before="280" w:after="40"/>
      </w:pPr>
      <w:r>
        <w:rPr>
          <w:color w:val="C85A00"/>
          <w:sz w:val="24"/>
        </w:rPr>
        <w:t xml:space="preserve">● </w:t>
      </w:r>
      <w:r>
        <w:rPr>
          <w:rFonts w:ascii="Cambria" w:hAnsi="Cambria"/>
          <w:b/>
          <w:color w:val="C85A00"/>
          <w:sz w:val="26"/>
        </w:rPr>
        <w:t>rest — difusión restringida (Callaghan)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rest</w:t>
      </w:r>
      <w:r>
        <w:rPr>
          <w:rFonts w:ascii="Cambria Math" w:hAnsi="Cambria Math"/>
          <w:b w:val="0"/>
          <w:i w:val="0"/>
          <w:color w:val="1B2330"/>
          <w:sz w:val="26"/>
        </w:rPr>
        <w:t>(G,N;τc) = M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0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· exp(−φ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SE</w:t>
      </w:r>
      <w:r>
        <w:rPr>
          <w:rFonts w:ascii="Cambria Math" w:hAnsi="Cambria Math"/>
          <w:b w:val="0"/>
          <w:i w:val="0"/>
          <w:color w:val="1B2330"/>
          <w:sz w:val="26"/>
        </w:rPr>
        <w:t>) · exp(−φ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N</w:t>
      </w:r>
      <w:r>
        <w:rPr>
          <w:rFonts w:ascii="Cambria Math" w:hAnsi="Cambria Math"/>
          <w:b w:val="0"/>
          <w:i w:val="0"/>
          <w:color w:val="1B2330"/>
          <w:sz w:val="26"/>
        </w:rPr>
        <w:t>) · exp(φ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×</w:t>
      </w:r>
      <w:r>
        <w:rPr>
          <w:rFonts w:ascii="Cambria Math" w:hAnsi="Cambria Math"/>
          <w:b w:val="0"/>
          <w:i w:val="0"/>
          <w:color w:val="1B2330"/>
          <w:sz w:val="26"/>
        </w:rPr>
        <w:t>)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b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SE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= γG√(D0 · τc)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φ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SE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= b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SE</w:t>
      </w:r>
      <w:r>
        <w:rPr>
          <w:rFonts w:ascii="Cambria Math" w:hAnsi="Cambria Math"/>
          <w:b w:val="0"/>
          <w:i w:val="0"/>
          <w:color w:val="1B2330"/>
          <w:sz w:val="26"/>
          <w:vertAlign w:val="superscript"/>
        </w:rPr>
        <w:t>²</w:t>
      </w:r>
      <w:r>
        <w:rPr>
          <w:rFonts w:ascii="Cambria Math" w:hAnsi="Cambria Math"/>
          <w:b w:val="0"/>
          <w:i w:val="0"/>
          <w:color w:val="1B2330"/>
          <w:sz w:val="26"/>
        </w:rPr>
        <w:t>τc² [ 4e</w:t>
      </w:r>
      <w:r>
        <w:rPr>
          <w:rFonts w:ascii="Cambria Math" w:hAnsi="Cambria Math"/>
          <w:b w:val="0"/>
          <w:i w:val="0"/>
          <w:color w:val="1B2330"/>
          <w:sz w:val="26"/>
          <w:vertAlign w:val="superscript"/>
        </w:rPr>
        <w:t>−y/2τc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− e</w:t>
      </w:r>
      <w:r>
        <w:rPr>
          <w:rFonts w:ascii="Cambria Math" w:hAnsi="Cambria Math"/>
          <w:b w:val="0"/>
          <w:i w:val="0"/>
          <w:color w:val="1B2330"/>
          <w:sz w:val="26"/>
          <w:vertAlign w:val="superscript"/>
        </w:rPr>
        <w:t>−y/τc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− 3 + y/τc ]</w:t>
      </w:r>
    </w:p>
    <w:p>
      <w:pPr>
        <w:spacing w:after="200"/>
      </w:pPr>
      <w:r>
        <w:rPr>
          <w:i/>
          <w:color w:val="5C6675"/>
          <w:sz w:val="19"/>
        </w:rPr>
        <w:t>φSE es el término del último lóbulo (duración y). Coincide, en el límite tc→∞, con el exponente de free — es decir, REST CONVERGE A FREE cuando la restricción desaparece, nunca a tort.</w:t>
      </w:r>
    </w:p>
    <w:p>
      <w:pPr>
        <w:spacing w:after="200"/>
      </w:pPr>
      <w:r>
        <w:rPr>
          <w:i w:val="0"/>
          <w:color w:val="5C6675"/>
          <w:sz w:val="19"/>
        </w:rPr>
        <w:t>φ_N y φ_× — expresión verificada, tomada literalmente del código fuente:</w:t>
      </w:r>
    </w:p>
    <w:p>
      <w:pPr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  <w:spacing w:before="80" w:after="200"/>
      </w:pPr>
      <w:r>
        <w:rPr>
          <w:rFonts w:ascii="Consolas" w:hAnsi="Consolas"/>
          <w:color w:val="5C6675"/>
          <w:sz w:val="18"/>
        </w:rPr>
        <w:t>phi_N = bSE**2 * tc**2 * (</w:t>
      </w:r>
      <w:r>
        <w:br/>
      </w:r>
      <w:r>
        <w:rPr>
          <w:rFonts w:ascii="Consolas" w:hAnsi="Consolas"/>
          <w:color w:val="5C6675"/>
          <w:sz w:val="18"/>
        </w:rPr>
        <w:t xml:space="preserve">    (N - 1) * x / tc</w:t>
      </w:r>
      <w:r>
        <w:br/>
      </w:r>
      <w:r>
        <w:rPr>
          <w:rFonts w:ascii="Consolas" w:hAnsi="Consolas"/>
          <w:color w:val="5C6675"/>
          <w:sz w:val="18"/>
        </w:rPr>
        <w:t xml:space="preserve">    + (-1)**(N - 1) * exp(-(N-1)*x/tc)</w:t>
      </w:r>
      <w:r>
        <w:br/>
      </w:r>
      <w:r>
        <w:rPr>
          <w:rFonts w:ascii="Consolas" w:hAnsi="Consolas"/>
          <w:color w:val="5C6675"/>
          <w:sz w:val="18"/>
        </w:rPr>
        <w:t xml:space="preserve">    + 1 - 2*N</w:t>
      </w:r>
      <w:r>
        <w:br/>
      </w:r>
      <w:r>
        <w:rPr>
          <w:rFonts w:ascii="Consolas" w:hAnsi="Consolas"/>
          <w:color w:val="5C6675"/>
          <w:sz w:val="18"/>
        </w:rPr>
        <w:t xml:space="preserve">    - 4 * e_lobe_half * neg_lobe_N / D</w:t>
      </w:r>
      <w:r>
        <w:br/>
      </w:r>
      <w:r>
        <w:rPr>
          <w:rFonts w:ascii="Consolas" w:hAnsi="Consolas"/>
          <w:color w:val="5C6675"/>
          <w:sz w:val="18"/>
        </w:rPr>
        <w:t xml:space="preserve">    + 4 * e_lobe_half / D</w:t>
      </w:r>
      <w:r>
        <w:br/>
      </w:r>
      <w:r>
        <w:rPr>
          <w:rFonts w:ascii="Consolas" w:hAnsi="Consolas"/>
          <w:color w:val="5C6675"/>
          <w:sz w:val="18"/>
        </w:rPr>
        <w:t xml:space="preserve">    + 4 * neg_lobe_N * e_lobe / D**2</w:t>
      </w:r>
      <w:r>
        <w:br/>
      </w:r>
      <w:r>
        <w:rPr>
          <w:rFonts w:ascii="Consolas" w:hAnsi="Consolas"/>
          <w:color w:val="5C6675"/>
          <w:sz w:val="18"/>
        </w:rPr>
        <w:t xml:space="preserve">    + 4 * e_lobe * ((N-1)*e_lobe + N - 2) / D**2</w:t>
      </w:r>
      <w:r>
        <w:br/>
      </w:r>
      <w:r>
        <w:rPr>
          <w:rFonts w:ascii="Consolas" w:hAnsi="Consolas"/>
          <w:color w:val="5C6675"/>
          <w:sz w:val="18"/>
        </w:rPr>
        <w:t>)</w:t>
      </w:r>
      <w:r>
        <w:br/>
      </w:r>
      <w:r>
        <w:rPr>
          <w:rFonts w:ascii="Consolas" w:hAnsi="Consolas"/>
          <w:color w:val="5C6675"/>
          <w:sz w:val="18"/>
        </w:rPr>
        <w:t>phi_cross = 2 * tc**2 * inner_cross * bSE**2 / (exp(x/tc) + 1)</w:t>
      </w:r>
      <w:r>
        <w:br/>
      </w:r>
      <w:r>
        <w:rPr>
          <w:rFonts w:ascii="Consolas" w:hAnsi="Consolas"/>
          <w:color w:val="5C6675"/>
          <w:sz w:val="18"/>
        </w:rPr>
      </w:r>
      <w:r>
        <w:br/>
      </w:r>
      <w:r>
        <w:rPr>
          <w:rFonts w:ascii="Consolas" w:hAnsi="Consolas"/>
          <w:color w:val="5C6675"/>
          <w:sz w:val="18"/>
        </w:rPr>
        <w:t># e_lobe = exp(-x/tc), e_lobe_half = exp(-x/2tc), D = e_lobe + 1</w:t>
      </w:r>
      <w:r>
        <w:br/>
      </w:r>
      <w:r>
        <w:rPr>
          <w:rFonts w:ascii="Consolas" w:hAnsi="Consolas"/>
          <w:color w:val="5C6675"/>
          <w:sz w:val="18"/>
        </w:rPr>
        <w:t># inner_cross: suma de 11 terminos exponenciales en x, y, tc (Callaghan)</w:t>
      </w:r>
      <w:r>
        <w:br/>
      </w:r>
      <w:r>
        <w:rPr>
          <w:rFonts w:ascii="Consolas" w:hAnsi="Consolas"/>
          <w:color w:val="5C6675"/>
          <w:sz w:val="18"/>
        </w:rPr>
        <w:t># fuente completa: models/model_fitting.py, _rest_log_attenuation()</w:t>
      </w:r>
    </w:p>
    <w:p>
      <w:pPr>
        <w:spacing w:after="200"/>
      </w:pPr>
      <w:r>
        <w:rPr>
          <w:i w:val="0"/>
          <w:color w:val="5C6675"/>
          <w:sz w:val="19"/>
        </w:rPr>
        <w:t>Estos dos términos son fases de interferencia entre los N−1 lóbulos OGSE y entre esos lóbulos y el lóbulo final; no tienen una forma cerrada corta, por eso se referencian directamente contra el código verificado en vez de re-transcribirlos.</w:t>
      </w:r>
    </w:p>
    <w:p>
      <w:pPr>
        <w:spacing w:before="280" w:after="40"/>
      </w:pPr>
      <w:r>
        <w:rPr>
          <w:color w:val="C62626"/>
          <w:sz w:val="24"/>
        </w:rPr>
        <w:t xml:space="preserve">● </w:t>
      </w:r>
      <w:r>
        <w:rPr>
          <w:rFonts w:ascii="Cambria" w:hAnsi="Cambria"/>
          <w:b/>
          <w:color w:val="C62626"/>
          <w:sz w:val="26"/>
        </w:rPr>
        <w:t>mixed — producto libre × restringido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mixed</w:t>
      </w:r>
      <w:r>
        <w:rPr>
          <w:rFonts w:ascii="Cambria Math" w:hAnsi="Cambria Math"/>
          <w:b w:val="0"/>
          <w:i w:val="0"/>
          <w:color w:val="1B2330"/>
          <w:sz w:val="26"/>
        </w:rPr>
        <w:t>(G,N;τc,α) = M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0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· 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free</w:t>
      </w:r>
      <w:r>
        <w:rPr>
          <w:rFonts w:ascii="Cambria Math" w:hAnsi="Cambria Math"/>
          <w:b w:val="0"/>
          <w:i w:val="0"/>
          <w:color w:val="1B2330"/>
          <w:sz w:val="26"/>
        </w:rPr>
        <w:t>(G,N;D=αD0) · 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rest</w:t>
      </w:r>
      <w:r>
        <w:rPr>
          <w:rFonts w:ascii="Cambria Math" w:hAnsi="Cambria Math"/>
          <w:b w:val="0"/>
          <w:i w:val="0"/>
          <w:color w:val="1B2330"/>
          <w:sz w:val="26"/>
        </w:rPr>
        <w:t>(G,N;τc;D=(1−α)D0)</w:t>
      </w:r>
    </w:p>
    <w:p>
      <w:pPr>
        <w:spacing w:after="200"/>
      </w:pPr>
      <w:r>
        <w:rPr>
          <w:i w:val="0"/>
          <w:color w:val="5C6675"/>
          <w:sz w:val="19"/>
        </w:rPr>
        <w:t>M_ogse_mixed. NO es una mezcla de dos poblaciones con fracciones de peso (como el modelo de 2 poblaciones del script de investigación) — es UN canal cuya atenuación total es el PRODUCTO de una atenuación libre con difusividad alpha·D0 y una atenuación restringida con difusividad (1−alpha)·D0.</w:t>
      </w:r>
    </w:p>
    <w:p>
      <w:pPr>
        <w:pStyle w:val="Heading3"/>
      </w:pPr>
      <w:r>
        <w:t>rest con piso normalizado (solo etapa de resampleo)</w:t>
      </w:r>
    </w:p>
    <w:p>
      <w:pPr>
        <w:spacing w:before="280" w:after="40"/>
      </w:pPr>
      <w:r>
        <w:rPr>
          <w:color w:val="C85A00"/>
          <w:sz w:val="24"/>
        </w:rPr>
        <w:t xml:space="preserve">● </w:t>
      </w:r>
      <w:r>
        <w:rPr>
          <w:rFonts w:ascii="Cambria" w:hAnsi="Cambria"/>
          <w:b/>
          <w:color w:val="C85A00"/>
          <w:sz w:val="26"/>
        </w:rPr>
        <w:t>rest + offset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rest,C</w:t>
      </w:r>
      <w:r>
        <w:rPr>
          <w:rFonts w:ascii="Cambria Math" w:hAnsi="Cambria Math"/>
          <w:b w:val="0"/>
          <w:i w:val="0"/>
          <w:color w:val="1B2330"/>
          <w:sz w:val="26"/>
        </w:rPr>
        <w:t>(G,N;τc,C) = √(S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rest</w:t>
      </w:r>
      <w:r>
        <w:rPr>
          <w:rFonts w:ascii="Cambria Math" w:hAnsi="Cambria Math"/>
          <w:b w:val="0"/>
          <w:i w:val="0"/>
          <w:color w:val="1B2330"/>
          <w:sz w:val="26"/>
        </w:rPr>
        <w:t>²+C²)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/ √(1+C²)</w:t>
      </w:r>
    </w:p>
    <w:p>
      <w:pPr>
        <w:spacing w:after="200"/>
      </w:pPr>
      <w:r>
        <w:rPr>
          <w:i/>
          <w:color w:val="5C6675"/>
          <w:sz w:val="19"/>
        </w:rPr>
        <w:t>M_ogse_rest_offset. SOLO se usa dentro del resampleo (sección 4) para absorber el piso de ruido Rician sin desplazar la normalización en G=0. El modelo candidato ‘rest’ de la sección 5 NO tiene este piso — son dos usos distintos del mismo nombre ‘rest’.</w:t>
      </w:r>
    </w:p>
    <w:p>
      <w:pPr>
        <w:pStyle w:val="Heading1"/>
      </w:pPr>
      <w:r>
        <w:t>3. Contraste teórico</w:t>
      </w:r>
    </w:p>
    <w:p>
      <w:pPr>
        <w:spacing w:after="160"/>
      </w:pPr>
      <w:r>
        <w:t>Para cualquiera de los cuatro modelos, el contraste es la resta del mismo modelo evaluado en las dos adquisiciones (N1=8, N2=4):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ΔS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modelo</w:t>
      </w:r>
      <w:r>
        <w:rPr>
          <w:rFonts w:ascii="Cambria Math" w:hAnsi="Cambria Math"/>
          <w:b w:val="0"/>
          <w:i w:val="0"/>
          <w:color w:val="1B2330"/>
          <w:sz w:val="26"/>
        </w:rPr>
        <w:t>(G;N1,N2) = 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modelo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(G1,N1) </w:t>
      </w:r>
      <w:r>
        <w:rPr>
          <w:rFonts w:ascii="Cambria Math" w:hAnsi="Cambria Math"/>
          <w:b w:val="0"/>
          <w:i w:val="0"/>
          <w:color w:val="1B2330"/>
          <w:sz w:val="26"/>
        </w:rPr>
        <w:t>− 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modelo</w:t>
      </w:r>
      <w:r>
        <w:rPr>
          <w:rFonts w:ascii="Cambria Math" w:hAnsi="Cambria Math"/>
          <w:b w:val="0"/>
          <w:i w:val="0"/>
          <w:color w:val="1B2330"/>
          <w:sz w:val="26"/>
        </w:rPr>
        <w:t>(G2,N2)</w:t>
      </w:r>
    </w:p>
    <w:p>
      <w:pPr>
        <w:spacing w:after="160"/>
      </w:pPr>
      <w:r>
        <w:t>Las funciones del código (OGSE_contrast_vs_g_free/rest/tort/mixed) aceptan G1 y G2 independientes por si cada rama vive en su propia grilla. En este notebook, cuando se ajustan los 4 modelos candidatos (sección 5) ambas ramas ya comparten una única grilla resampleada, así que G1 = G2 = G en ese paso.</w:t>
      </w:r>
    </w:p>
    <w:p>
      <w:pPr>
        <w:pStyle w:val="Heading1"/>
      </w:pPr>
      <w:r>
        <w:t>4. Etapa 1 — Resampleo (la curva gris)</w:t>
      </w:r>
    </w:p>
    <w:p>
      <w:pPr>
        <w:spacing w:after="160"/>
      </w:pPr>
      <w:r>
        <w:t>La curva gris del gráfico NO es un dato crudo: es la resta de dos ajustes de señal independientes, uno por rama N, evaluados en una grilla de gradiente común. Función del repo: build_resampled_contrasts.</w:t>
      </w:r>
    </w:p>
    <w:p>
      <w:pPr>
        <w:spacing w:after="160"/>
      </w:pPr>
      <w:r>
        <w:t>Ambas ramas se ajustan CONJUNTAMENTE (un solo least_squares), compartiendo siempre el piso C. El tiempo de correlación depende de SIGNAL_TC_MODE: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SIGNAL_TC_MODE</w:t>
            </w:r>
          </w:p>
        </w:tc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tc por rama</w:t>
            </w:r>
          </w:p>
        </w:tc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Parámetros libres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'separate'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tc(N=8) ≠ tc(N=4), independientes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tc(8), tc(4), C — 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'shared'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tc(N=8) = tc(N=4), un único valor físico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tc, C — 2</w:t>
            </w:r>
          </w:p>
        </w:tc>
      </w:tr>
    </w:tbl>
    <w:p>
      <w:pPr>
        <w:spacing w:after="80"/>
      </w:pPr>
    </w:p>
    <w:p>
      <w:pPr>
        <w:spacing w:after="160"/>
      </w:pPr>
      <w:r>
        <w:t>D0 queda fijo (no se ajusta) y M0=1 en ambas ramas.</w:t>
      </w:r>
    </w:p>
    <w:p>
      <w:pPr>
        <w:pStyle w:val="Heading3"/>
      </w:pPr>
      <w:r>
        <w:t>Grilla y resta final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G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común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= linspace(0, min(G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8,max</w:t>
      </w:r>
      <w:r>
        <w:rPr>
          <w:rFonts w:ascii="Cambria Math" w:hAnsi="Cambria Math"/>
          <w:b w:val="0"/>
          <w:i w:val="0"/>
          <w:color w:val="1B2330"/>
          <w:sz w:val="26"/>
        </w:rPr>
        <w:t>, G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4,max</w:t>
      </w:r>
      <w:r>
        <w:rPr>
          <w:rFonts w:ascii="Cambria Math" w:hAnsi="Cambria Math"/>
          <w:b w:val="0"/>
          <w:i w:val="0"/>
          <w:color w:val="1B2330"/>
          <w:sz w:val="26"/>
        </w:rPr>
        <w:t>), RESAMPLE_GRID_SIZE)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Contraste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resampleado</w:t>
      </w:r>
      <w:r>
        <w:rPr>
          <w:rFonts w:ascii="Cambria Math" w:hAnsi="Cambria Math"/>
          <w:b w:val="0"/>
          <w:i w:val="0"/>
          <w:color w:val="1B2330"/>
          <w:sz w:val="26"/>
        </w:rPr>
        <w:t>(G) = Ŝ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rest,C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(G,8) </w:t>
      </w:r>
      <w:r>
        <w:rPr>
          <w:rFonts w:ascii="Cambria Math" w:hAnsi="Cambria Math"/>
          <w:b w:val="0"/>
          <w:i w:val="0"/>
          <w:color w:val="1B2330"/>
          <w:sz w:val="26"/>
        </w:rPr>
        <w:t>− Ŝ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rest,C</w:t>
      </w:r>
      <w:r>
        <w:rPr>
          <w:rFonts w:ascii="Cambria Math" w:hAnsi="Cambria Math"/>
          <w:b w:val="0"/>
          <w:i w:val="0"/>
          <w:color w:val="1B2330"/>
          <w:sz w:val="26"/>
        </w:rPr>
        <w:t>(G,4)</w:t>
      </w:r>
    </w:p>
    <w:p>
      <w:pPr>
        <w:spacing w:after="160"/>
      </w:pPr>
      <w:r>
        <w:t>(el acento ^ indica “ya ajustado”). Esta es la línea gris, y es el “dato observado” que se usa para ajustar los cuatro modelos candidatos en la sección 5.</w:t>
      </w:r>
    </w:p>
    <w:p>
      <w:pPr>
        <w:pStyle w:val="Heading3"/>
      </w:pPr>
      <w:r>
        <w:t>Marcadores llenos / vacíos</w:t>
      </w:r>
    </w:p>
    <w:p>
      <w:pPr>
        <w:spacing w:after="160"/>
      </w:pPr>
      <w:r>
        <w:t>No son mediciones independientes: son la misma curva de arriba, interpolada (np.interp) en los G reales y corregidos donde cada rama tiene mediciones propias — círculo lleno = posiciones reales de N=8, círculo vacío = posiciones reales de N=4. Muestran cobertura, no un valor nuevo.</w:t>
      </w:r>
    </w:p>
    <w:p>
      <w:pPr>
        <w:pStyle w:val="Heading1"/>
      </w:pPr>
      <w:r>
        <w:t>5. Etapa 2 — Ajuste de los 4 modelos candidatos</w:t>
      </w:r>
    </w:p>
    <w:p>
      <w:pPr>
        <w:spacing w:after="160"/>
      </w:pPr>
      <w:r>
        <w:t>Sobre Contraste_resampleado(G_común) se ajusta, por separado, cada uno de los cuatro modelos de la sección 2 (usando la versión SIN piso de Rician — ver nota de la sección 2 sobre ‘rest’ vs ‘rest+offset’).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2E6EC"/>
          </w:tcPr>
          <w:p>
            <w:r/>
            <w:r>
              <w:rPr>
                <w:b/>
                <w:sz w:val="19"/>
              </w:rPr>
              <w:t>Modelo</w:t>
            </w:r>
          </w:p>
        </w:tc>
        <w:tc>
          <w:tcPr>
            <w:tcW w:type="dxa" w:w="2436"/>
            <w:shd w:val="clear" w:color="auto" w:fill="E2E6EC"/>
          </w:tcPr>
          <w:p>
            <w:r/>
            <w:r>
              <w:rPr>
                <w:b/>
                <w:sz w:val="19"/>
              </w:rPr>
              <w:t>Libres</w:t>
            </w:r>
          </w:p>
        </w:tc>
        <w:tc>
          <w:tcPr>
            <w:tcW w:type="dxa" w:w="2436"/>
            <w:shd w:val="clear" w:color="auto" w:fill="E2E6EC"/>
          </w:tcPr>
          <w:p>
            <w:r/>
            <w:r>
              <w:rPr>
                <w:b/>
                <w:sz w:val="19"/>
              </w:rPr>
              <w:t>D0</w:t>
            </w:r>
          </w:p>
        </w:tc>
        <w:tc>
          <w:tcPr>
            <w:tcW w:type="dxa" w:w="2436"/>
            <w:shd w:val="clear" w:color="auto" w:fill="E2E6EC"/>
          </w:tcPr>
          <w:p>
            <w:r/>
            <w:r>
              <w:rPr>
                <w:b/>
                <w:sz w:val="19"/>
              </w:rPr>
              <w:t>alpha con ALPHA_MODE='alpha_macro'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free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fijo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rest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tc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fijo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n/a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tort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alpha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fijo</w:t>
            </w:r>
          </w:p>
        </w:tc>
        <w:tc>
          <w:tcPr>
            <w:tcW w:type="dxa" w:w="2436"/>
          </w:tcPr>
          <w:p>
            <w:r/>
            <w:r>
              <w:rPr>
                <w:rFonts w:ascii="Consolas" w:hAnsi="Consolas"/>
                <w:sz w:val="19"/>
              </w:rPr>
              <w:t>alpha = alpha_macro (nada que ajustar)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mixed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tc, alpha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fijo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alpha fijo, solo tc libre</w:t>
            </w:r>
          </w:p>
        </w:tc>
      </w:tr>
    </w:tbl>
    <w:p>
      <w:pPr>
        <w:spacing w:after="80"/>
      </w:pPr>
    </w:p>
    <w:p>
      <w:pPr>
        <w:spacing w:after="160"/>
      </w:pPr>
      <w:r>
        <w:t>alpha_macro se lee de la master table, por (segmentación, sujeto, sheet, ROI, dirección, td) — típicamente una tortuosidad macroscópica estimada vía PGSE.</w:t>
      </w:r>
    </w:p>
    <w:p>
      <w:pPr>
        <w:pStyle w:val="Heading3"/>
      </w:pPr>
      <w:r>
        <w:t>Función de costo y robustez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SSE(</w:t>
      </w:r>
      <w:r>
        <w:rPr>
          <w:rFonts w:ascii="Cambria Math" w:hAnsi="Cambria Math"/>
          <w:b w:val="0"/>
          <w:i w:val="0"/>
          <w:color w:val="1B2330"/>
          <w:sz w:val="26"/>
        </w:rPr>
        <w:t>Δ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) = </w:t>
      </w:r>
      <w:r>
        <w:rPr>
          <w:rFonts w:ascii="Cambria Math" w:hAnsi="Cambria Math"/>
          <w:b w:val="0"/>
          <w:i w:val="0"/>
          <w:color w:val="1B2330"/>
          <w:sz w:val="26"/>
        </w:rPr>
        <w:t>Σ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i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[ ΔS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modelo</w:t>
      </w:r>
      <w:r>
        <w:rPr>
          <w:rFonts w:ascii="Cambria Math" w:hAnsi="Cambria Math"/>
          <w:b w:val="0"/>
          <w:i w:val="0"/>
          <w:color w:val="1B2330"/>
          <w:sz w:val="26"/>
        </w:rPr>
        <w:t>(G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i</w:t>
      </w:r>
      <w:r>
        <w:rPr>
          <w:rFonts w:ascii="Cambria Math" w:hAnsi="Cambria Math"/>
          <w:b w:val="0"/>
          <w:i w:val="0"/>
          <w:color w:val="1B2330"/>
          <w:sz w:val="26"/>
        </w:rPr>
        <w:t>;Δ) − Contraste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resampleado</w:t>
      </w:r>
      <w:r>
        <w:rPr>
          <w:rFonts w:ascii="Cambria Math" w:hAnsi="Cambria Math"/>
          <w:b w:val="0"/>
          <w:i w:val="0"/>
          <w:color w:val="1B2330"/>
          <w:sz w:val="26"/>
        </w:rPr>
        <w:t>(G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i</w:t>
      </w:r>
      <w:r>
        <w:rPr>
          <w:rFonts w:ascii="Cambria Math" w:hAnsi="Cambria Math"/>
          <w:b w:val="0"/>
          <w:i w:val="0"/>
          <w:color w:val="1B2330"/>
          <w:sz w:val="26"/>
        </w:rPr>
        <w:t>) ]²</w:t>
      </w:r>
    </w:p>
    <w:p>
      <w:pPr>
        <w:spacing w:after="160"/>
      </w:pPr>
      <w:r>
        <w:t>Minimizada con scipy.optimize.least_squares (método 'trf'). Antes de refinar, se escanea una grilla (log-espaciada para tc, lineal para alpha) y se arranca desde el mejor punto: el paisaje de error de rest y mixed no siempre es unimodal en tc — puede haber un mínimo espúrio cerca de tc→0 (compartimento tan chico que no hay atenuación medible) separado del óptimo real por una “joroba” de peor ajuste. Un único punto de arranque fijo puede quedar atrapado del lado equivocado; la grilla previa evita eso.</w:t>
      </w:r>
    </w:p>
    <w:p>
      <w:pPr>
        <w:pStyle w:val="Heading1"/>
      </w:pPr>
      <w:r>
        <w:t>6. Corrección de gradiente</w:t>
      </w:r>
    </w:p>
    <w:p>
      <w:pPr>
        <w:spacing w:after="160"/>
      </w:pPr>
      <w:r>
        <w:t>Columna base y corrección aplicadas de punta a punta, en ambas etapas.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G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corr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= G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nominal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· f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grad_correction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2E6EC"/>
          </w:tcPr>
          <w:p>
            <w:r/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4873"/>
            <w:shd w:val="clear" w:color="auto" w:fill="E2E6EC"/>
          </w:tcPr>
          <w:p>
            <w:r/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Columna base (GRADIENT_COLUMN)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'g'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Alternativa disponible en la master table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'g_thorsten'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Columna de corrección</w:t>
            </w:r>
          </w:p>
        </w:tc>
        <w:tc>
          <w:tcPr>
            <w:tcW w:type="dxa" w:w="4873"/>
          </w:tcPr>
          <w:p>
            <w:r/>
            <w:r>
              <w:rPr>
                <w:rFonts w:ascii="Consolas" w:hAnsi="Consolas"/>
                <w:sz w:val="19"/>
              </w:rPr>
              <w:t>'grad_correction_factor'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¿Se aplica? (APPLY_GRADIENT_CORRECTION)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True</w:t>
            </w:r>
          </w:p>
        </w:tc>
      </w:tr>
    </w:tbl>
    <w:p>
      <w:pPr>
        <w:spacing w:after="80"/>
      </w:pPr>
    </w:p>
    <w:p>
      <w:pPr>
        <w:spacing w:after="160"/>
      </w:pPr>
      <w:r>
        <w:t>Se usa 'g', no 'g_thorsten' — es un parámetro editable en la celda de configuración si en algún momento se quiere comparar contra esa convención. La corrección se aplica igual dentro del resampleo (ajuste por rama) y al calcular las posiciones reales de los marcadores.</w:t>
      </w:r>
    </w:p>
    <w:p>
      <w:pPr>
        <w:pStyle w:val="Heading1"/>
      </w:pPr>
      <w:r>
        <w:t>7. Longitud de filtrado l_cf</w:t>
      </w:r>
    </w:p>
    <w:p>
      <w:pPr>
        <w:spacing w:after="160"/>
      </w:pPr>
      <w:r>
        <w:t>Eje alternativo (X_AXIS='lcf'), convención de Capiglioni et al., Phys. Rev. Applied 15, 014045 (2021).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l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G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= (D0 / (</w:t>
      </w:r>
      <w:r>
        <w:rPr>
          <w:rFonts w:ascii="Cambria Math" w:hAnsi="Cambria Math"/>
          <w:b w:val="0"/>
          <w:i w:val="0"/>
          <w:color w:val="1B2330"/>
          <w:sz w:val="26"/>
        </w:rPr>
        <w:t>γ</w:t>
      </w:r>
      <w:r>
        <w:rPr>
          <w:rFonts w:ascii="Cambria Math" w:hAnsi="Cambria Math"/>
          <w:b w:val="0"/>
          <w:i w:val="0"/>
          <w:color w:val="1B2330"/>
          <w:sz w:val="26"/>
        </w:rPr>
        <w:t>G))</w:t>
      </w:r>
      <w:r>
        <w:rPr>
          <w:rFonts w:ascii="Cambria Math" w:hAnsi="Cambria Math"/>
          <w:b w:val="0"/>
          <w:i w:val="0"/>
          <w:color w:val="1B2330"/>
          <w:sz w:val="26"/>
          <w:vertAlign w:val="superscript"/>
        </w:rPr>
        <w:t>1/3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l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D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= √(D0 · TD)</w:t>
      </w:r>
    </w:p>
    <w:p>
      <w:pPr>
        <w:spacing w:before="120" w:after="120"/>
        <w:jc w:val="center"/>
        <w:shd w:val="clear" w:color="auto" w:fill="EDEFF3"/>
        <w:pBdr>
          <w:top w:val="single" w:sz="6" w:space="6" w:color="D7DBE2"/>
          <w:left w:val="single" w:sz="6" w:space="6" w:color="D7DBE2"/>
          <w:bottom w:val="single" w:sz="6" w:space="6" w:color="D7DBE2"/>
          <w:right w:val="single" w:sz="6" w:space="6" w:color="D7DBE2"/>
        </w:pBdr>
      </w:pPr>
      <w:r>
        <w:rPr>
          <w:rFonts w:ascii="Cambria Math" w:hAnsi="Cambria Math"/>
          <w:b w:val="0"/>
          <w:i w:val="0"/>
          <w:color w:val="1B2330"/>
          <w:sz w:val="26"/>
        </w:rPr>
        <w:t>L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cf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= (3/2)</w:t>
      </w:r>
      <w:r>
        <w:rPr>
          <w:rFonts w:ascii="Cambria Math" w:hAnsi="Cambria Math"/>
          <w:b w:val="0"/>
          <w:i w:val="0"/>
          <w:color w:val="1B2330"/>
          <w:sz w:val="26"/>
          <w:vertAlign w:val="superscript"/>
        </w:rPr>
        <w:t>1/4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· (l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D</w:t>
      </w:r>
      <w:r>
        <w:rPr>
          <w:rFonts w:ascii="Cambria Math" w:hAnsi="Cambria Math"/>
          <w:b w:val="0"/>
          <w:i w:val="0"/>
          <w:color w:val="1B2330"/>
          <w:sz w:val="26"/>
        </w:rPr>
        <w:t>/l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G</w:t>
      </w:r>
      <w:r>
        <w:rPr>
          <w:rFonts w:ascii="Cambria Math" w:hAnsi="Cambria Math"/>
          <w:b w:val="0"/>
          <w:i w:val="0"/>
          <w:color w:val="1B2330"/>
          <w:sz w:val="26"/>
        </w:rPr>
        <w:t>)</w:t>
      </w:r>
      <w:r>
        <w:rPr>
          <w:rFonts w:ascii="Cambria Math" w:hAnsi="Cambria Math"/>
          <w:b w:val="0"/>
          <w:i w:val="0"/>
          <w:color w:val="1B2330"/>
          <w:sz w:val="26"/>
          <w:vertAlign w:val="superscript"/>
        </w:rPr>
        <w:t>−1/2</w:t>
      </w:r>
      <w:r>
        <w:rPr>
          <w:rFonts w:ascii="Cambria Math" w:hAnsi="Cambria Math"/>
          <w:b w:val="0"/>
          <w:i w:val="0"/>
          <w:color w:val="1B2330"/>
          <w:sz w:val="26"/>
        </w:rPr>
        <w:t xml:space="preserve"> · l</w:t>
      </w:r>
      <w:r>
        <w:rPr>
          <w:rFonts w:ascii="Cambria Math" w:hAnsi="Cambria Math"/>
          <w:b/>
          <w:i w:val="0"/>
          <w:color w:val="1B2330"/>
          <w:sz w:val="26"/>
          <w:vertAlign w:val="subscript"/>
        </w:rPr>
        <w:t>G</w:t>
      </w:r>
      <w:r>
        <w:rPr>
          <w:rFonts w:ascii="Cambria Math" w:hAnsi="Cambria Math"/>
          <w:b w:val="0"/>
          <w:i w:val="0"/>
          <w:color w:val="1B2330"/>
          <w:sz w:val="26"/>
        </w:rPr>
      </w:r>
    </w:p>
    <w:p>
      <w:pPr>
        <w:spacing w:after="160"/>
      </w:pPr>
      <w:r>
        <w:t>Calculado en metros y reportado en µm. Usa la misma constante giromagnética que el resto del repo (GAMMA_RAD_MS_MT = 267.5221900) y se aplica tanto a la grilla común (para dibujar curvas en eje lcf) como al G real de cada rama (para los marcadores). Por default el eje se recorta a LCF_XLIM_UM=(2.5, 11.0) µm — misma convención que plot_contrast_lcf_grid del repo — porque lcf ~ G^(-1/3) comprime la curva fuera de ese rango.</w:t>
      </w:r>
    </w:p>
    <w:p>
      <w:pPr>
        <w:pStyle w:val="Heading1"/>
      </w:pPr>
      <w:r>
        <w:t>8. Configuración usada (valores por default)</w:t>
      </w:r>
    </w:p>
    <w:p>
      <w:pPr>
        <w:spacing w:after="160"/>
      </w:pPr>
      <w:r>
        <w:t>Todo editable en la celda “QUICK SELECTION” del notebook.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Parámetro</w:t>
            </w:r>
          </w:p>
        </w:tc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Default</w:t>
            </w:r>
          </w:p>
        </w:tc>
        <w:tc>
          <w:tcPr>
            <w:tcW w:type="dxa" w:w="3249"/>
            <w:shd w:val="clear" w:color="auto" w:fill="E2E6EC"/>
          </w:tcPr>
          <w:p>
            <w:r/>
            <w:r>
              <w:rPr>
                <w:b/>
                <w:sz w:val="19"/>
              </w:rPr>
              <w:t>Rol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D0_M2_MS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3.2e-12 / 2.3e-12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brains / phantoms, fijo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RESAMPLE_GRID_SIZE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400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puntos de G_común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SIGNAL_TC_BOUNDS_MS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(0.1, 10000)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bounds tc, etapa 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RICIAN_C_BOUNDS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(0.0, 2.0)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bounds C, etapa 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SIGNAL_TC_MODE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'separate'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tc por rama, etapa 1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REST_TC_BOUNDS_MS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(0.05, 1000)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bounds tc, modelo rest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MIXED_TC_BOUNDS_MS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(0.05, 1000)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bounds tc, modelo mixed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TORT_ALPHA_BOUNDS / MIXED_ALPHA_BOUNDS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(0.0, 1.0)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bounds alpha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ALPHA_MODE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'fit'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'fit' o 'alpha_macro'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GRADIENT_COLUMN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'g'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columna base de 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APPLY_GRADIENT_CORRECTION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True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usa grad_correction_factor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N_HIGH / N_LOW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sz w:val="19"/>
              </w:rPr>
              <w:t>8 / 4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ramas del contraste</w:t>
            </w:r>
          </w:p>
        </w:tc>
      </w:tr>
    </w:tbl>
    <w:p>
      <w:pPr>
        <w:spacing w:after="80"/>
      </w:pPr>
    </w:p>
    <w:p>
      <w:pPr>
        <w:shd w:val="clear" w:color="auto" w:fill="E2F1EF"/>
      </w:pPr>
      <w:r>
        <w:rPr>
          <w:color w:val="1B2330"/>
          <w:sz w:val="20"/>
        </w:rPr>
        <w:t>Cada combinación de segmentación (plain/erode1/sket1 en brains, manual en phantoms) y sheet (sesión de escaneo) se resamplea y ajusta por separado — nunca se combinan entre sí.</w:t>
      </w:r>
    </w:p>
    <w:p>
      <w:pPr>
        <w:spacing w:before="400"/>
      </w:pPr>
      <w:r>
        <w:rPr>
          <w:rFonts w:ascii="Consolas" w:hAnsi="Consolas"/>
          <w:color w:val="5C6675"/>
          <w:sz w:val="17"/>
        </w:rPr>
        <w:t>Fuentes: models/model_fitting.py · presentation_analysis/abstract_figures.py · Capiglioni et al., Phys. Rev. Applied 15, 014045 (2021)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23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0D6E6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B233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B233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