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BA30F" w14:textId="7D87D65B" w:rsidR="008711D4" w:rsidRDefault="00BA313A" w:rsidP="00BA313A">
      <w:pPr>
        <w:jc w:val="center"/>
        <w:rPr>
          <w:b/>
          <w:bCs/>
          <w:sz w:val="28"/>
          <w:szCs w:val="28"/>
        </w:rPr>
      </w:pPr>
      <w:r w:rsidRPr="00BA313A">
        <w:rPr>
          <w:b/>
          <w:bCs/>
          <w:sz w:val="28"/>
          <w:szCs w:val="28"/>
        </w:rPr>
        <w:t>Infografía</w:t>
      </w:r>
    </w:p>
    <w:p w14:paraId="675F3E55" w14:textId="13C8E349" w:rsidR="00BA313A" w:rsidRDefault="00BA313A" w:rsidP="00BA313A">
      <w:pPr>
        <w:jc w:val="center"/>
        <w:rPr>
          <w:b/>
          <w:bCs/>
          <w:sz w:val="24"/>
          <w:szCs w:val="24"/>
        </w:rPr>
      </w:pPr>
      <w:r>
        <w:rPr>
          <w:b/>
          <w:bCs/>
          <w:sz w:val="24"/>
          <w:szCs w:val="24"/>
        </w:rPr>
        <w:t>Importaciones según tipo de gasolina</w:t>
      </w:r>
    </w:p>
    <w:p w14:paraId="0F38DDED" w14:textId="77777777" w:rsidR="00BA313A" w:rsidRDefault="00BA313A" w:rsidP="00BA313A">
      <w:pPr>
        <w:jc w:val="center"/>
        <w:rPr>
          <w:b/>
          <w:bCs/>
          <w:sz w:val="24"/>
          <w:szCs w:val="24"/>
        </w:rPr>
      </w:pPr>
    </w:p>
    <w:p w14:paraId="5801ED8B" w14:textId="3D83B4F0" w:rsidR="00BA313A" w:rsidRPr="00BA313A" w:rsidRDefault="00BA313A" w:rsidP="00BA313A">
      <w:pPr>
        <w:rPr>
          <w:b/>
          <w:bCs/>
        </w:rPr>
      </w:pPr>
      <w:r w:rsidRPr="00BA313A">
        <w:rPr>
          <w:b/>
          <w:bCs/>
        </w:rPr>
        <w:t xml:space="preserve">Explicación </w:t>
      </w:r>
    </w:p>
    <w:p w14:paraId="0D20EB25" w14:textId="7D01E387" w:rsidR="00BA313A" w:rsidRDefault="00BA313A" w:rsidP="00BA313A">
      <w:pPr>
        <w:jc w:val="both"/>
      </w:pPr>
      <w:r>
        <w:t>En la creación de esta infografía, decidimos centrarnos en mostrar los crecimientos anuales promedio de las importaciones de Gasolina Regular y Gasolina Superior para todos los años disponibles, ya que ambos tipos mostraron una tendencia constante. Para el Diesel Alto Azufre, calculamos el crecimiento solo hasta 2017, ya que después de ese año se dejó de importar, lo cual reflejó un cambio en las dinámicas del mercado.</w:t>
      </w:r>
    </w:p>
    <w:p w14:paraId="28FF0950" w14:textId="42E9A1BD" w:rsidR="00BA313A" w:rsidRDefault="00BA313A" w:rsidP="00BA313A">
      <w:pPr>
        <w:jc w:val="both"/>
      </w:pPr>
      <w:r>
        <w:t xml:space="preserve">Optamos por usar </w:t>
      </w:r>
      <w:proofErr w:type="spellStart"/>
      <w:r>
        <w:t>KPIs</w:t>
      </w:r>
      <w:proofErr w:type="spellEnd"/>
      <w:r>
        <w:t xml:space="preserve"> en lugar de gráficos complejos, para facilitar la comprensión de los datos clave, como el crecimiento porcentual anual de cada tipo de gasolina. Este enfoque permite resaltar cómo ha evolucionado el mercado de combustibles, destacando el aumento de la gasolina regular y superior, mientras que el </w:t>
      </w:r>
      <w:proofErr w:type="spellStart"/>
      <w:r>
        <w:t>diesel</w:t>
      </w:r>
      <w:proofErr w:type="spellEnd"/>
      <w:r>
        <w:t xml:space="preserve"> ha disminuido significativamente en los últimos años. De esta forma, la infografía presenta datos claros y permite interpretar las tendencias del mercado de manera efectiva.</w:t>
      </w:r>
    </w:p>
    <w:p w14:paraId="7520EA43" w14:textId="72035EC6" w:rsidR="00BA313A" w:rsidRDefault="00BA313A" w:rsidP="00BA313A">
      <w:pPr>
        <w:jc w:val="both"/>
        <w:rPr>
          <w:b/>
          <w:bCs/>
        </w:rPr>
      </w:pPr>
      <w:r w:rsidRPr="00BA313A">
        <w:rPr>
          <w:b/>
          <w:bCs/>
        </w:rPr>
        <w:t>Diseño</w:t>
      </w:r>
    </w:p>
    <w:p w14:paraId="03D0FE3D" w14:textId="504E1078" w:rsidR="00BA313A" w:rsidRDefault="00BA313A" w:rsidP="00BA313A">
      <w:pPr>
        <w:jc w:val="both"/>
      </w:pPr>
      <w:r>
        <w:t>Las decisiones del diseño se basaron en la selección cuidadosa de la paleta de colores, elegida específicamente para reflejar los significados detrás de los resultados que queríamos comunicar. Optamos por una paleta que evoca la naturaleza, energía, calidez y estabilidad, conceptos que son clave para transmitir las ideas detrás de las importaciones de combustibles.</w:t>
      </w:r>
    </w:p>
    <w:p w14:paraId="7DC6D041" w14:textId="38AC9E2C" w:rsidR="00BA313A" w:rsidRDefault="00BA313A" w:rsidP="00BA313A">
      <w:pPr>
        <w:jc w:val="center"/>
      </w:pPr>
      <w:r w:rsidRPr="00BA313A">
        <w:drawing>
          <wp:inline distT="0" distB="0" distL="0" distR="0" wp14:anchorId="513CD593" wp14:editId="5887C42D">
            <wp:extent cx="2766060" cy="1253682"/>
            <wp:effectExtent l="0" t="0" r="0" b="3810"/>
            <wp:docPr id="316220803"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20803" name="Imagen 1" descr="Icono&#10;&#10;El contenido generado por IA puede ser incorrecto."/>
                    <pic:cNvPicPr/>
                  </pic:nvPicPr>
                  <pic:blipFill>
                    <a:blip r:embed="rId6"/>
                    <a:stretch>
                      <a:fillRect/>
                    </a:stretch>
                  </pic:blipFill>
                  <pic:spPr>
                    <a:xfrm>
                      <a:off x="0" y="0"/>
                      <a:ext cx="2780432" cy="1260196"/>
                    </a:xfrm>
                    <a:prstGeom prst="rect">
                      <a:avLst/>
                    </a:prstGeom>
                  </pic:spPr>
                </pic:pic>
              </a:graphicData>
            </a:graphic>
          </wp:inline>
        </w:drawing>
      </w:r>
    </w:p>
    <w:p w14:paraId="7DF7983C" w14:textId="5DDAA129" w:rsidR="00BA313A" w:rsidRDefault="00BA313A" w:rsidP="00BA313A">
      <w:pPr>
        <w:jc w:val="both"/>
      </w:pPr>
      <w:r>
        <w:t xml:space="preserve">El verde oscuro fue seleccionado para representar la gasolina regular, ya que está asociado con la sostenibilidad y la naturaleza. El amarillo brillante se asocia con la energía, lo que lo hace perfecto para la gasolina superior, un tipo de combustible de mayor calidad y rendimiento. El naranja cálido se utilizó para el </w:t>
      </w:r>
      <w:proofErr w:type="spellStart"/>
      <w:r>
        <w:t>diesel</w:t>
      </w:r>
      <w:proofErr w:type="spellEnd"/>
      <w:r>
        <w:t xml:space="preserve"> alto azufre, evocando una sensación de calidez y calidad, aunque en menor cantidad de importación en los últimos años. Finalmente, el azul profundo fue elegido para brindar estabilidad a la visualización, simbolizando la solidez de los datos presentados.</w:t>
      </w:r>
    </w:p>
    <w:p w14:paraId="70D4E34D" w14:textId="1E9835A0" w:rsidR="00BA313A" w:rsidRDefault="00BA313A" w:rsidP="00BA313A">
      <w:pPr>
        <w:jc w:val="both"/>
      </w:pPr>
      <w:r>
        <w:t>Esta paleta no solo hace que los datos sean más accesibles y visualmente atractivos, sino que también destaca la información crítica de manera clara.</w:t>
      </w:r>
    </w:p>
    <w:p w14:paraId="0C8CCC8F" w14:textId="77777777" w:rsidR="00BA313A" w:rsidRPr="00BA313A" w:rsidRDefault="00BA313A" w:rsidP="00BA313A">
      <w:pPr>
        <w:jc w:val="both"/>
      </w:pPr>
    </w:p>
    <w:p w14:paraId="4CB50FF1" w14:textId="5B00FB88" w:rsidR="00BA313A" w:rsidRDefault="00BA313A" w:rsidP="00BA313A">
      <w:pPr>
        <w:jc w:val="both"/>
        <w:rPr>
          <w:b/>
          <w:bCs/>
        </w:rPr>
      </w:pPr>
      <w:r w:rsidRPr="00BA313A">
        <w:rPr>
          <w:b/>
          <w:bCs/>
        </w:rPr>
        <w:lastRenderedPageBreak/>
        <w:t xml:space="preserve">Elección de gráficos </w:t>
      </w:r>
    </w:p>
    <w:p w14:paraId="2AE69A5C" w14:textId="282AAB3A" w:rsidR="00BA313A" w:rsidRDefault="00BA313A" w:rsidP="00BA313A">
      <w:pPr>
        <w:jc w:val="both"/>
        <w:rPr>
          <w:b/>
          <w:bCs/>
        </w:rPr>
      </w:pPr>
      <w:r w:rsidRPr="00BA313A">
        <w:rPr>
          <w:b/>
          <w:bCs/>
        </w:rPr>
        <w:drawing>
          <wp:inline distT="0" distB="0" distL="0" distR="0" wp14:anchorId="295709D8" wp14:editId="0A08040C">
            <wp:extent cx="2933700" cy="1406105"/>
            <wp:effectExtent l="0" t="0" r="0" b="3810"/>
            <wp:docPr id="214574651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46518" name="Imagen 1" descr="Gráfico, Gráfico de barras&#10;&#10;El contenido generado por IA puede ser incorrecto."/>
                    <pic:cNvPicPr/>
                  </pic:nvPicPr>
                  <pic:blipFill>
                    <a:blip r:embed="rId7"/>
                    <a:stretch>
                      <a:fillRect/>
                    </a:stretch>
                  </pic:blipFill>
                  <pic:spPr>
                    <a:xfrm>
                      <a:off x="0" y="0"/>
                      <a:ext cx="2939731" cy="1408995"/>
                    </a:xfrm>
                    <a:prstGeom prst="rect">
                      <a:avLst/>
                    </a:prstGeom>
                  </pic:spPr>
                </pic:pic>
              </a:graphicData>
            </a:graphic>
          </wp:inline>
        </w:drawing>
      </w:r>
      <w:r>
        <w:rPr>
          <w:b/>
          <w:bCs/>
        </w:rPr>
        <w:t xml:space="preserve"> </w:t>
      </w:r>
      <w:r w:rsidRPr="00BA313A">
        <w:rPr>
          <w:b/>
          <w:bCs/>
        </w:rPr>
        <w:drawing>
          <wp:inline distT="0" distB="0" distL="0" distR="0" wp14:anchorId="07F7868C" wp14:editId="235BF85C">
            <wp:extent cx="2186940" cy="1371106"/>
            <wp:effectExtent l="0" t="0" r="3810" b="635"/>
            <wp:docPr id="192963521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35212" name="Imagen 1" descr="Gráfico, Gráfico de líneas&#10;&#10;El contenido generado por IA puede ser incorrecto."/>
                    <pic:cNvPicPr/>
                  </pic:nvPicPr>
                  <pic:blipFill>
                    <a:blip r:embed="rId8"/>
                    <a:stretch>
                      <a:fillRect/>
                    </a:stretch>
                  </pic:blipFill>
                  <pic:spPr>
                    <a:xfrm>
                      <a:off x="0" y="0"/>
                      <a:ext cx="2201305" cy="1380112"/>
                    </a:xfrm>
                    <a:prstGeom prst="rect">
                      <a:avLst/>
                    </a:prstGeom>
                  </pic:spPr>
                </pic:pic>
              </a:graphicData>
            </a:graphic>
          </wp:inline>
        </w:drawing>
      </w:r>
    </w:p>
    <w:p w14:paraId="174701E8" w14:textId="0B72549B" w:rsidR="00BA313A" w:rsidRDefault="00BA313A" w:rsidP="00BA313A">
      <w:pPr>
        <w:jc w:val="center"/>
        <w:rPr>
          <w:b/>
          <w:bCs/>
        </w:rPr>
      </w:pPr>
      <w:r w:rsidRPr="00BA313A">
        <w:rPr>
          <w:b/>
          <w:bCs/>
        </w:rPr>
        <w:drawing>
          <wp:inline distT="0" distB="0" distL="0" distR="0" wp14:anchorId="7D9662EC" wp14:editId="7F9B9D98">
            <wp:extent cx="2232660" cy="1283312"/>
            <wp:effectExtent l="0" t="0" r="0" b="0"/>
            <wp:docPr id="166943078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30786" name="Imagen 1" descr="Gráfico, Gráfico de líneas&#10;&#10;El contenido generado por IA puede ser incorrecto."/>
                    <pic:cNvPicPr/>
                  </pic:nvPicPr>
                  <pic:blipFill>
                    <a:blip r:embed="rId9"/>
                    <a:stretch>
                      <a:fillRect/>
                    </a:stretch>
                  </pic:blipFill>
                  <pic:spPr>
                    <a:xfrm>
                      <a:off x="0" y="0"/>
                      <a:ext cx="2241006" cy="1288109"/>
                    </a:xfrm>
                    <a:prstGeom prst="rect">
                      <a:avLst/>
                    </a:prstGeom>
                  </pic:spPr>
                </pic:pic>
              </a:graphicData>
            </a:graphic>
          </wp:inline>
        </w:drawing>
      </w:r>
    </w:p>
    <w:p w14:paraId="6FC8C79A" w14:textId="77777777" w:rsidR="00381E4E" w:rsidRDefault="00381E4E" w:rsidP="00BA313A">
      <w:pPr>
        <w:jc w:val="center"/>
        <w:rPr>
          <w:b/>
          <w:bCs/>
        </w:rPr>
      </w:pPr>
    </w:p>
    <w:p w14:paraId="1A2AF759" w14:textId="0DE6F3A5" w:rsidR="00BA313A" w:rsidRDefault="00BA313A" w:rsidP="00BA313A">
      <w:pPr>
        <w:jc w:val="both"/>
      </w:pPr>
      <w:r>
        <w:t>Las decisiones sobre los gráficos seleccionados se basaron en el tipo de dato que representan y en la mejor manera de comunicar la información de manera clara y efectiva. Para mostrar las importaciones anuales, utilizamos un gráfico de barras, ya que este tipo de gráfico permite comparar fácilmente las importaciones por tipo de gasolina de un año a otro. La visualización con barras facilita identificar rápidamente las diferencias entre los años y los tipos de combustible, resaltando tendencias importantes.</w:t>
      </w:r>
    </w:p>
    <w:p w14:paraId="5F641B7B" w14:textId="701DCB7E" w:rsidR="00BA313A" w:rsidRDefault="00BA313A" w:rsidP="00BA313A">
      <w:pPr>
        <w:jc w:val="both"/>
      </w:pPr>
      <w:r>
        <w:t xml:space="preserve">Por otro lado, el crecimiento anual promedio se presenta mediante </w:t>
      </w:r>
      <w:proofErr w:type="spellStart"/>
      <w:r>
        <w:t>KPIs</w:t>
      </w:r>
      <w:proofErr w:type="spellEnd"/>
      <w:r>
        <w:t xml:space="preserve"> (indicadores clave de desempeño), lo cual permite una visualización directa y precisa del comportamiento de las importaciones a lo largo del tiempo sin sobrecargar de información visual al espectador. Estos </w:t>
      </w:r>
      <w:proofErr w:type="spellStart"/>
      <w:r>
        <w:t>KPIs</w:t>
      </w:r>
      <w:proofErr w:type="spellEnd"/>
      <w:r>
        <w:t xml:space="preserve"> proporcionan una visión concisa del cambio porcentual en las importaciones de cada tipo de gasolina, permitiendo que los usuarios comprendan rápidamente la evolución del mercado.</w:t>
      </w:r>
    </w:p>
    <w:p w14:paraId="5701A46E" w14:textId="1E7F1F78" w:rsidR="00BA313A" w:rsidRDefault="00BA313A" w:rsidP="00BA313A">
      <w:pPr>
        <w:jc w:val="both"/>
      </w:pPr>
      <w:r>
        <w:t>La elección de no incluir gráficos complejos fue intencional, ya que el objetivo era asegurar que la información fuera accesible y fácil de interpretar, centrando la atención en los valores clave y evitando la saturación de datos. Con estos enfoques, se busca una visualización clara y efectiva que resalte las métricas más importantes sin complicar el análisis.</w:t>
      </w:r>
    </w:p>
    <w:p w14:paraId="5D369D4D" w14:textId="7EBC7088" w:rsidR="00BA313A" w:rsidRDefault="00BA313A" w:rsidP="00BA313A">
      <w:pPr>
        <w:jc w:val="both"/>
        <w:rPr>
          <w:b/>
          <w:bCs/>
        </w:rPr>
      </w:pPr>
      <w:r>
        <w:rPr>
          <w:b/>
          <w:bCs/>
        </w:rPr>
        <w:t xml:space="preserve">Orden </w:t>
      </w:r>
    </w:p>
    <w:p w14:paraId="19BBF187" w14:textId="773EA452" w:rsidR="00BA313A" w:rsidRPr="00BA313A" w:rsidRDefault="00381E4E" w:rsidP="00BA313A">
      <w:pPr>
        <w:jc w:val="both"/>
      </w:pPr>
      <w:r w:rsidRPr="00381E4E">
        <w:t xml:space="preserve">El orden para mostrar los resultados fue diseñado para facilitar la comprensión. Primero, presentamos las importaciones anuales por tipo de gasolina en un gráfico de barras, lo que proporciona una visión general clara del comportamiento del mercado a lo largo de los años. Luego, mostramos los </w:t>
      </w:r>
      <w:proofErr w:type="spellStart"/>
      <w:r w:rsidRPr="00381E4E">
        <w:t>KPIs</w:t>
      </w:r>
      <w:proofErr w:type="spellEnd"/>
      <w:r w:rsidRPr="00381E4E">
        <w:t xml:space="preserve"> de crecimiento anual promedio, que ofrecen un análisis más detallado sobre cómo han cambiado las importaciones de cada tipo de gasolina. Este enfoque sigue una estructura lógica: primero se muestra el volumen de importaciones y luego se analizan las tendencias de crecimiento, facilitando así la interpretación de la información.</w:t>
      </w:r>
    </w:p>
    <w:sectPr w:rsidR="00BA313A" w:rsidRPr="00BA313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80BBD" w14:textId="77777777" w:rsidR="008C6D19" w:rsidRDefault="008C6D19" w:rsidP="00BA313A">
      <w:pPr>
        <w:spacing w:after="0" w:line="240" w:lineRule="auto"/>
      </w:pPr>
      <w:r>
        <w:separator/>
      </w:r>
    </w:p>
  </w:endnote>
  <w:endnote w:type="continuationSeparator" w:id="0">
    <w:p w14:paraId="355C01B0" w14:textId="77777777" w:rsidR="008C6D19" w:rsidRDefault="008C6D19" w:rsidP="00BA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685E8" w14:textId="77777777" w:rsidR="008C6D19" w:rsidRDefault="008C6D19" w:rsidP="00BA313A">
      <w:pPr>
        <w:spacing w:after="0" w:line="240" w:lineRule="auto"/>
      </w:pPr>
      <w:r>
        <w:separator/>
      </w:r>
    </w:p>
  </w:footnote>
  <w:footnote w:type="continuationSeparator" w:id="0">
    <w:p w14:paraId="1B6D565A" w14:textId="77777777" w:rsidR="008C6D19" w:rsidRDefault="008C6D19" w:rsidP="00BA3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73F3E" w14:textId="0D6DD1F5" w:rsidR="00BA313A" w:rsidRDefault="00BA313A">
    <w:pPr>
      <w:pStyle w:val="Encabezado"/>
    </w:pPr>
    <w:r>
      <w:t>Ignacio Méndez 22613, Diego Soto 22737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3A"/>
    <w:rsid w:val="00381E4E"/>
    <w:rsid w:val="007B77BA"/>
    <w:rsid w:val="008711D4"/>
    <w:rsid w:val="008C6D19"/>
    <w:rsid w:val="00BA313A"/>
    <w:rsid w:val="00C41C25"/>
    <w:rsid w:val="00CF4C08"/>
    <w:rsid w:val="00E368FA"/>
    <w:rsid w:val="00F37A80"/>
  </w:rsids>
  <m:mathPr>
    <m:mathFont m:val="Cambria Math"/>
    <m:brkBin m:val="before"/>
    <m:brkBinSub m:val="--"/>
    <m:smallFrac m:val="0"/>
    <m:dispDef/>
    <m:lMargin m:val="0"/>
    <m:rMargin m:val="0"/>
    <m:defJc m:val="centerGroup"/>
    <m:wrapIndent m:val="1440"/>
    <m:intLim m:val="subSup"/>
    <m:naryLim m:val="undOvr"/>
  </m:mathPr>
  <w:themeFontLang w:val="es-G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8E7B"/>
  <w15:chartTrackingRefBased/>
  <w15:docId w15:val="{270C25CE-4BAF-40F8-95A3-DAD598DC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3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1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13A"/>
    <w:rPr>
      <w:rFonts w:eastAsiaTheme="majorEastAsia" w:cstheme="majorBidi"/>
      <w:color w:val="272727" w:themeColor="text1" w:themeTint="D8"/>
    </w:rPr>
  </w:style>
  <w:style w:type="paragraph" w:styleId="Ttulo">
    <w:name w:val="Title"/>
    <w:basedOn w:val="Normal"/>
    <w:next w:val="Normal"/>
    <w:link w:val="TtuloCar"/>
    <w:uiPriority w:val="10"/>
    <w:qFormat/>
    <w:rsid w:val="00BA3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13A"/>
    <w:pPr>
      <w:spacing w:before="160"/>
      <w:jc w:val="center"/>
    </w:pPr>
    <w:rPr>
      <w:i/>
      <w:iCs/>
      <w:color w:val="404040" w:themeColor="text1" w:themeTint="BF"/>
    </w:rPr>
  </w:style>
  <w:style w:type="character" w:customStyle="1" w:styleId="CitaCar">
    <w:name w:val="Cita Car"/>
    <w:basedOn w:val="Fuentedeprrafopredeter"/>
    <w:link w:val="Cita"/>
    <w:uiPriority w:val="29"/>
    <w:rsid w:val="00BA313A"/>
    <w:rPr>
      <w:i/>
      <w:iCs/>
      <w:color w:val="404040" w:themeColor="text1" w:themeTint="BF"/>
    </w:rPr>
  </w:style>
  <w:style w:type="paragraph" w:styleId="Prrafodelista">
    <w:name w:val="List Paragraph"/>
    <w:basedOn w:val="Normal"/>
    <w:uiPriority w:val="34"/>
    <w:qFormat/>
    <w:rsid w:val="00BA313A"/>
    <w:pPr>
      <w:ind w:left="720"/>
      <w:contextualSpacing/>
    </w:pPr>
  </w:style>
  <w:style w:type="character" w:styleId="nfasisintenso">
    <w:name w:val="Intense Emphasis"/>
    <w:basedOn w:val="Fuentedeprrafopredeter"/>
    <w:uiPriority w:val="21"/>
    <w:qFormat/>
    <w:rsid w:val="00BA313A"/>
    <w:rPr>
      <w:i/>
      <w:iCs/>
      <w:color w:val="0F4761" w:themeColor="accent1" w:themeShade="BF"/>
    </w:rPr>
  </w:style>
  <w:style w:type="paragraph" w:styleId="Citadestacada">
    <w:name w:val="Intense Quote"/>
    <w:basedOn w:val="Normal"/>
    <w:next w:val="Normal"/>
    <w:link w:val="CitadestacadaCar"/>
    <w:uiPriority w:val="30"/>
    <w:qFormat/>
    <w:rsid w:val="00BA3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13A"/>
    <w:rPr>
      <w:i/>
      <w:iCs/>
      <w:color w:val="0F4761" w:themeColor="accent1" w:themeShade="BF"/>
    </w:rPr>
  </w:style>
  <w:style w:type="character" w:styleId="Referenciaintensa">
    <w:name w:val="Intense Reference"/>
    <w:basedOn w:val="Fuentedeprrafopredeter"/>
    <w:uiPriority w:val="32"/>
    <w:qFormat/>
    <w:rsid w:val="00BA313A"/>
    <w:rPr>
      <w:b/>
      <w:bCs/>
      <w:smallCaps/>
      <w:color w:val="0F4761" w:themeColor="accent1" w:themeShade="BF"/>
      <w:spacing w:val="5"/>
    </w:rPr>
  </w:style>
  <w:style w:type="paragraph" w:styleId="Encabezado">
    <w:name w:val="header"/>
    <w:basedOn w:val="Normal"/>
    <w:link w:val="EncabezadoCar"/>
    <w:uiPriority w:val="99"/>
    <w:unhideWhenUsed/>
    <w:rsid w:val="00BA3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13A"/>
  </w:style>
  <w:style w:type="paragraph" w:styleId="Piedepgina">
    <w:name w:val="footer"/>
    <w:basedOn w:val="Normal"/>
    <w:link w:val="PiedepginaCar"/>
    <w:uiPriority w:val="99"/>
    <w:unhideWhenUsed/>
    <w:rsid w:val="00BA3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FLORES, DIEGO FERNANDO</dc:creator>
  <cp:keywords/>
  <dc:description/>
  <cp:lastModifiedBy>SOTO FLORES, DIEGO FERNANDO</cp:lastModifiedBy>
  <cp:revision>1</cp:revision>
  <dcterms:created xsi:type="dcterms:W3CDTF">2025-10-16T00:36:00Z</dcterms:created>
  <dcterms:modified xsi:type="dcterms:W3CDTF">2025-10-16T00:47:00Z</dcterms:modified>
</cp:coreProperties>
</file>