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0A72A8" w:rsidRPr="000E2447" w:rsidRDefault="000A72A8" w:rsidP="000A72A8">
      <w:pPr>
        <w:pStyle w:val="DefaultParagraphFont1"/>
        <w:jc w:val="center"/>
        <w:rPr>
          <w:rStyle w:val="TtuloCar"/>
        </w:rPr>
      </w:pPr>
    </w:p>
    <w:p w14:paraId="6A05A809" w14:textId="136D68C5" w:rsidR="0068020F" w:rsidRPr="009474E4" w:rsidRDefault="009474E4" w:rsidP="009474E4">
      <w:pPr>
        <w:jc w:val="center"/>
        <w:rPr>
          <w:lang w:val="en-US"/>
        </w:rPr>
      </w:pPr>
      <w:r w:rsidRPr="00FF6E55">
        <w:rPr>
          <w:rStyle w:val="TtuloCar"/>
          <w:lang w:val="en-US"/>
        </w:rPr>
        <w:t>Academic Performance, Course Load, and Student Persistence:</w:t>
      </w:r>
      <w:r>
        <w:rPr>
          <w:rStyle w:val="TtuloCar"/>
        </w:rPr>
        <w:t xml:space="preserve"> </w:t>
      </w:r>
      <w:r w:rsidRPr="00FF6E55">
        <w:rPr>
          <w:rStyle w:val="TtuloCar"/>
          <w:lang w:val="en-US"/>
        </w:rPr>
        <w:t>A Longitudinal Modeling of Academic Trajectories in an Engineering Program</w:t>
      </w:r>
    </w:p>
    <w:p w14:paraId="5A39BBE3" w14:textId="77777777" w:rsidR="0068020F" w:rsidRPr="009474E4" w:rsidRDefault="0068020F" w:rsidP="0068020F">
      <w:pPr>
        <w:rPr>
          <w:lang w:val="en-US"/>
        </w:rPr>
      </w:pPr>
    </w:p>
    <w:p w14:paraId="41C8F396" w14:textId="77777777" w:rsidR="0068020F" w:rsidRPr="009474E4" w:rsidRDefault="0068020F" w:rsidP="0068020F">
      <w:pPr>
        <w:rPr>
          <w:lang w:val="en-US"/>
        </w:rPr>
      </w:pPr>
    </w:p>
    <w:p w14:paraId="72A3D3EC" w14:textId="77777777" w:rsidR="00411A52" w:rsidRPr="009474E4" w:rsidRDefault="00411A52" w:rsidP="00134578">
      <w:pPr>
        <w:pStyle w:val="DefaultParagraphFont1"/>
        <w:jc w:val="both"/>
        <w:rPr>
          <w:rFonts w:ascii="Times New Roman" w:hAnsi="Times New Roman" w:cs="Times New Roman"/>
          <w:b/>
          <w:bCs/>
          <w:i/>
          <w:iCs/>
          <w:sz w:val="18"/>
          <w:szCs w:val="22"/>
        </w:rPr>
      </w:pPr>
    </w:p>
    <w:p w14:paraId="0D0B940D" w14:textId="77777777" w:rsidR="00EE72B4" w:rsidRPr="009474E4" w:rsidRDefault="00EE72B4" w:rsidP="00134578">
      <w:pPr>
        <w:rPr>
          <w:rFonts w:ascii="Times New Roman" w:hAnsi="Times New Roman" w:cs="Times New Roman"/>
          <w:sz w:val="18"/>
          <w:szCs w:val="22"/>
          <w:lang w:val="en-US"/>
        </w:rPr>
        <w:sectPr w:rsidR="00EE72B4" w:rsidRPr="009474E4" w:rsidSect="00EF4E02">
          <w:footerReference w:type="default" r:id="rId7"/>
          <w:footnotePr>
            <w:numFmt w:val="chicago"/>
          </w:footnotePr>
          <w:pgSz w:w="12240" w:h="15840" w:code="1"/>
          <w:pgMar w:top="1080" w:right="900" w:bottom="1440" w:left="900" w:header="720" w:footer="720" w:gutter="0"/>
          <w:cols w:space="284"/>
        </w:sectPr>
      </w:pPr>
    </w:p>
    <w:p w14:paraId="424EF09C" w14:textId="56FFBE62" w:rsidR="00675DD2" w:rsidRPr="001E5F91" w:rsidRDefault="00675DD2" w:rsidP="00675DD2">
      <w:pPr>
        <w:pStyle w:val="AbstractandKeywords"/>
      </w:pPr>
      <w:r w:rsidRPr="001E5F91">
        <w:t>Abstract– Student persistence in engineering programs represents a critical challenge for higher education institutions, particularly during the early semesters, when foundational courses exhibit high repetition and failure rates. In this context, the present study examines the relationship between academic performance, academic load, and student persistence through the construction of longitudinal academic trajectories.</w:t>
      </w:r>
      <w:r>
        <w:t xml:space="preserve"> </w:t>
      </w:r>
      <w:r w:rsidRPr="001E5F91">
        <w:t>The analysis is based on an institutional dataset comprising academic records of students enrolled in foundational courses within a Software Development program between the 2022-1 and 2025-1 academic terms. From these data, a synthetic performance indicator</w:t>
      </w:r>
      <w:r w:rsidR="00CE7EF8">
        <w:t xml:space="preserve"> </w:t>
      </w:r>
      <w:r w:rsidRPr="001E5F91">
        <w:t>termed the cumulative course pass rate</w:t>
      </w:r>
      <w:r w:rsidR="00CE7EF8">
        <w:t xml:space="preserve"> </w:t>
      </w:r>
      <w:r w:rsidRPr="001E5F91">
        <w:t>was developed, along with a binary variable representing student persistence.</w:t>
      </w:r>
      <w:r>
        <w:t xml:space="preserve"> </w:t>
      </w:r>
      <w:r w:rsidRPr="001E5F91">
        <w:t>The analytical framework combined descriptive statistics, exploratory visualizations, and logistic regression modeling to assess the relationship between cumulative academic performance and the probability of persistence. The results reveal a strong and statistically significant association between cumulative course pass rate and student persistence, with the proposed model demonstrating high predictive performance.</w:t>
      </w:r>
      <w:r>
        <w:t xml:space="preserve"> </w:t>
      </w:r>
      <w:r w:rsidRPr="001E5F91">
        <w:t>Additionally, individual-level analysis of the relationship between academic load and performance reveals substantial heterogeneity in students’ responses, enabling the identification of differentiated academic profiles. These findings highlight the relevance of longitudinal performance indicators for understanding student trajectories and for supporting institutional strategies aimed at strengthening academic persistence.</w:t>
      </w:r>
    </w:p>
    <w:p w14:paraId="69717346" w14:textId="77777777" w:rsidR="00675DD2" w:rsidRPr="001E5F91" w:rsidRDefault="00675DD2" w:rsidP="00675DD2">
      <w:pPr>
        <w:pStyle w:val="AbstractandKeywords"/>
      </w:pPr>
    </w:p>
    <w:p w14:paraId="40604621" w14:textId="77777777" w:rsidR="00675DD2" w:rsidRPr="001E5F91" w:rsidRDefault="00675DD2" w:rsidP="00675DD2">
      <w:pPr>
        <w:pStyle w:val="AbstractandKeywords"/>
      </w:pPr>
      <w:r w:rsidRPr="001E5F91">
        <w:rPr>
          <w:lang w:val="en-AU"/>
        </w:rPr>
        <w:t>Keywords</w:t>
      </w:r>
      <w:r w:rsidRPr="001E5F91">
        <w:t xml:space="preserve">- </w:t>
      </w:r>
      <w:r w:rsidRPr="001E5F91">
        <w:rPr>
          <w:lang w:val="en-AU"/>
        </w:rPr>
        <w:t>Student persistence, academic performance, academic load, academic trajectories, longitudinal modelling,</w:t>
      </w:r>
      <w:r>
        <w:rPr>
          <w:lang w:val="en-AU"/>
        </w:rPr>
        <w:t xml:space="preserve"> </w:t>
      </w:r>
      <w:r w:rsidRPr="001E5F91">
        <w:rPr>
          <w:lang w:val="en-AU"/>
        </w:rPr>
        <w:t>learning analytics</w:t>
      </w:r>
      <w:r w:rsidRPr="001E5F91">
        <w:t>.</w:t>
      </w:r>
    </w:p>
    <w:p w14:paraId="486F49F0" w14:textId="77777777" w:rsidR="00675DD2" w:rsidRPr="001E5F91" w:rsidRDefault="00675DD2" w:rsidP="00675DD2">
      <w:pPr>
        <w:ind w:firstLine="360"/>
        <w:rPr>
          <w:b/>
          <w:i/>
          <w:sz w:val="18"/>
          <w:szCs w:val="18"/>
          <w:lang w:val="en-US"/>
        </w:rPr>
      </w:pPr>
    </w:p>
    <w:p w14:paraId="70744FE1" w14:textId="77777777" w:rsidR="00675DD2" w:rsidRPr="001E5F91" w:rsidRDefault="00675DD2" w:rsidP="00675DD2">
      <w:pPr>
        <w:ind w:firstLine="360"/>
        <w:rPr>
          <w:b/>
          <w:i/>
          <w:sz w:val="18"/>
          <w:szCs w:val="18"/>
          <w:lang w:val="en-US"/>
        </w:rPr>
      </w:pPr>
    </w:p>
    <w:p w14:paraId="392966D2" w14:textId="77777777" w:rsidR="00675DD2" w:rsidRPr="002822FE" w:rsidRDefault="00675DD2" w:rsidP="00675DD2">
      <w:pPr>
        <w:pStyle w:val="Ttulo1"/>
      </w:pPr>
      <w:r w:rsidRPr="00675DD2">
        <w:t xml:space="preserve">I.  </w:t>
      </w:r>
      <w:r w:rsidRPr="006D5DB9">
        <w:rPr>
          <w:lang w:val="en-AU"/>
        </w:rPr>
        <w:t>Introduction</w:t>
      </w:r>
      <w:r w:rsidRPr="002822FE">
        <w:t xml:space="preserve"> </w:t>
      </w:r>
    </w:p>
    <w:p w14:paraId="045A5857"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Higher education constitutes a fundamental human right and a key driver of individual and societal development, as it fosters social mobility, promotes equity, and contributes to economic growth. Despite its recognized importance, Latin America and the Caribbean continue to experience higher student dropout rates than other regions, positioning student attrition as a persistent challenge for the higher education sector [1].</w:t>
      </w:r>
    </w:p>
    <w:p w14:paraId="18FBB11D"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 xml:space="preserve">Prior research indicates that dropout is particularly concentrated in the early semesters, especially in foundational courses characterized by high conceptual rigor and a structuring role in students’ professional formation [2]. Within this context, understanding the factors associated with academic performance and their influence on program continuity is </w:t>
      </w:r>
      <w:r w:rsidRPr="002822FE">
        <w:rPr>
          <w:rFonts w:ascii="Times New Roman" w:hAnsi="Times New Roman" w:cs="Times New Roman"/>
          <w:lang w:val="en-US"/>
        </w:rPr>
        <w:t>essential for designing timely, evidence-based student support strategies.</w:t>
      </w:r>
    </w:p>
    <w:p w14:paraId="0AC65F29"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Traditionally, student persistence has been examined using aggregated indicators at the cohort or semester level. Numerous studies have developed predictive models aimed at identifying critical factors associated with dropout and graduation, leveraging institutional data to estimate attrition risk and support institutional decision-making [3]. These approaches have facilitated earlier identification of at-risk students, particularly through predictive models grounded in historical academic records.</w:t>
      </w:r>
    </w:p>
    <w:p w14:paraId="773D4F27"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More recently, research has incorporated learning analytics and machine learning techniques to predict academic risk by integrating demographic, academic, and behavioral variables. Evidence suggests that performance- and engagement-based indicators often demonstrate greater explanatory power than traditional sociodemographic variables, and that incorporating temporal dimensions significantly enhances predictive accuracy [4]. Furthermore, analytical frameworks based on minimal institutional data have been proposed not only to identify at-risk students but also to classify them into differentiated profiles, thereby informing targeted institutional policies [5].</w:t>
      </w:r>
    </w:p>
    <w:p w14:paraId="06129244"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From a pedagogical standpoint, the systematic monitoring of academic performance throughout the learning process has also been emphasized. Studies on continuous assessment indicate that frequent performance tracking and timely feedback strengthen student engagement and promote coherence in the learning process, both of which are closely associated with student persistence [6].</w:t>
      </w:r>
    </w:p>
    <w:p w14:paraId="1182015D"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Nevertheless, aggregated approaches may obscure the complexity of individual academic trajectories, limiting insight into the processes that lead to persistence or discontinuity. The increasing availability of longitudinal academic data has enabled more nuanced analyses in which academic performance is conceptualized as a dynamic process evolving over time and across multiple courses [7]–[9].</w:t>
      </w:r>
    </w:p>
    <w:p w14:paraId="437B0B47"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t>In particular, cumulative academic performance and academic load have emerged as key variables in persistence research. However, their relationship is neither strictly linear nor homogeneous across students. While some students experience performance decline as academic load increases, others maintain or even improve their outcomes, suggesting the presence of differentiated response profiles.</w:t>
      </w:r>
    </w:p>
    <w:p w14:paraId="626C6900" w14:textId="77777777" w:rsidR="00675DD2" w:rsidRPr="002822FE" w:rsidRDefault="00675DD2" w:rsidP="00675DD2">
      <w:pPr>
        <w:tabs>
          <w:tab w:val="left" w:pos="360"/>
        </w:tabs>
        <w:snapToGrid w:val="0"/>
        <w:ind w:firstLine="360"/>
        <w:jc w:val="both"/>
        <w:rPr>
          <w:rFonts w:ascii="Times New Roman" w:hAnsi="Times New Roman" w:cs="Times New Roman"/>
          <w:lang w:val="en-US"/>
        </w:rPr>
      </w:pPr>
    </w:p>
    <w:p w14:paraId="74050667" w14:textId="77777777" w:rsidR="00675DD2" w:rsidRPr="002822FE" w:rsidRDefault="00675DD2" w:rsidP="00675DD2">
      <w:pPr>
        <w:tabs>
          <w:tab w:val="left" w:pos="360"/>
        </w:tabs>
        <w:snapToGrid w:val="0"/>
        <w:ind w:firstLine="360"/>
        <w:jc w:val="both"/>
        <w:rPr>
          <w:rFonts w:ascii="Times New Roman" w:hAnsi="Times New Roman" w:cs="Times New Roman"/>
          <w:lang w:val="en-US"/>
        </w:rPr>
      </w:pPr>
      <w:r w:rsidRPr="002822FE">
        <w:rPr>
          <w:rFonts w:ascii="Times New Roman" w:hAnsi="Times New Roman" w:cs="Times New Roman"/>
          <w:lang w:val="en-US"/>
        </w:rPr>
        <w:lastRenderedPageBreak/>
        <w:t>Within this framework, the present study examines the relationship between academic performance, academic load, and student persistence through the construction of longitudinal academic trajectories. Drawing on institutional records from foundational courses in a Software Development program, the study proposes a modeling approach based on synthetic performance indicators and statistical analysis to characterize performance patterns and their association with persistence. The study aims to contribute empirical evidence toward a deeper understanding of student trajectories and to inform the development of early warning and academic support strategies.</w:t>
      </w:r>
    </w:p>
    <w:p w14:paraId="7FD3A2B6" w14:textId="77777777" w:rsidR="00675DD2" w:rsidRPr="00675DD2" w:rsidRDefault="00675DD2" w:rsidP="00675DD2">
      <w:pPr>
        <w:ind w:firstLine="360"/>
        <w:jc w:val="both"/>
        <w:rPr>
          <w:rFonts w:ascii="Times New Roman" w:hAnsi="Times New Roman" w:cs="Times New Roman"/>
          <w:lang w:val="en-US"/>
        </w:rPr>
      </w:pPr>
    </w:p>
    <w:p w14:paraId="751625B6" w14:textId="77777777" w:rsidR="00675DD2" w:rsidRPr="00675DD2" w:rsidRDefault="00675DD2" w:rsidP="00675DD2">
      <w:pPr>
        <w:ind w:firstLine="360"/>
        <w:jc w:val="both"/>
        <w:rPr>
          <w:rFonts w:ascii="Times New Roman" w:hAnsi="Times New Roman" w:cs="Times New Roman"/>
          <w:lang w:val="en-US"/>
        </w:rPr>
      </w:pPr>
    </w:p>
    <w:p w14:paraId="6DB1B239" w14:textId="77777777" w:rsidR="00675DD2" w:rsidRPr="002822FE" w:rsidRDefault="00675DD2" w:rsidP="00675DD2">
      <w:pPr>
        <w:tabs>
          <w:tab w:val="left" w:pos="360"/>
        </w:tabs>
        <w:snapToGrid w:val="0"/>
        <w:spacing w:before="120" w:after="120"/>
        <w:ind w:firstLine="360"/>
        <w:jc w:val="center"/>
        <w:rPr>
          <w:rFonts w:ascii="Times New Roman" w:hAnsi="Times New Roman" w:cs="Times New Roman"/>
          <w:smallCaps/>
          <w:lang w:val="en-US"/>
        </w:rPr>
      </w:pPr>
      <w:r w:rsidRPr="002822FE">
        <w:rPr>
          <w:rFonts w:ascii="Times New Roman" w:hAnsi="Times New Roman" w:cs="Times New Roman"/>
          <w:smallCaps/>
          <w:lang w:val="en-US"/>
        </w:rPr>
        <w:t>II. Methodology</w:t>
      </w:r>
    </w:p>
    <w:p w14:paraId="550F1F54" w14:textId="77777777" w:rsidR="00675DD2" w:rsidRPr="00C63834" w:rsidRDefault="00675DD2" w:rsidP="00675DD2">
      <w:pPr>
        <w:tabs>
          <w:tab w:val="left" w:pos="360"/>
        </w:tabs>
        <w:snapToGrid w:val="0"/>
        <w:jc w:val="both"/>
        <w:rPr>
          <w:rFonts w:ascii="Times New Roman" w:hAnsi="Times New Roman" w:cs="Times New Roman"/>
          <w:i/>
          <w:iCs/>
          <w:lang w:val="en-US"/>
        </w:rPr>
      </w:pPr>
      <w:r w:rsidRPr="00C63834">
        <w:rPr>
          <w:rFonts w:ascii="Times New Roman" w:hAnsi="Times New Roman" w:cs="Times New Roman"/>
          <w:i/>
          <w:iCs/>
          <w:lang w:val="en-US"/>
        </w:rPr>
        <w:t>A.</w:t>
      </w:r>
      <w:r w:rsidRPr="00C63834">
        <w:rPr>
          <w:lang w:val="en-US"/>
        </w:rPr>
        <w:tab/>
      </w:r>
      <w:r w:rsidRPr="00C63834">
        <w:rPr>
          <w:rFonts w:ascii="Times New Roman" w:hAnsi="Times New Roman" w:cs="Times New Roman"/>
          <w:i/>
          <w:iCs/>
          <w:lang w:val="en-US"/>
        </w:rPr>
        <w:t>Context and Data Source</w:t>
      </w:r>
    </w:p>
    <w:p w14:paraId="4031C5A3" w14:textId="77777777" w:rsidR="00675DD2" w:rsidRPr="00C63834" w:rsidRDefault="00675DD2" w:rsidP="00675DD2">
      <w:pPr>
        <w:tabs>
          <w:tab w:val="left" w:pos="360"/>
        </w:tabs>
        <w:jc w:val="both"/>
        <w:rPr>
          <w:rFonts w:ascii="Times New Roman" w:hAnsi="Times New Roman" w:cs="Times New Roman"/>
          <w:i/>
          <w:iCs/>
          <w:lang w:val="en-US"/>
        </w:rPr>
      </w:pPr>
    </w:p>
    <w:p w14:paraId="5077DC2D" w14:textId="77777777" w:rsidR="00675DD2" w:rsidRDefault="00675DD2" w:rsidP="00675DD2">
      <w:pPr>
        <w:pBdr>
          <w:top w:val="nil"/>
          <w:left w:val="nil"/>
          <w:bottom w:val="nil"/>
          <w:right w:val="nil"/>
          <w:between w:val="nil"/>
        </w:pBdr>
        <w:ind w:left="180" w:right="40" w:firstLine="360"/>
        <w:jc w:val="both"/>
      </w:pPr>
      <w:r>
        <w:t>This study draws upon an institutional dataset provided by the Academic Persistence Office. The dataset includes partial academic performance records of students enrolled in foundational courses within the early-stage curriculum of the Software Development program Differential Calculus, Linear Algebra, Mathematics for Computer Science, and Programming Logic covering the 2022-1 to 2025-1 academic terms.</w:t>
      </w:r>
    </w:p>
    <w:p w14:paraId="21467BA6" w14:textId="77777777" w:rsidR="00675DD2" w:rsidRDefault="00675DD2" w:rsidP="00675DD2">
      <w:pPr>
        <w:pBdr>
          <w:top w:val="nil"/>
          <w:left w:val="nil"/>
          <w:bottom w:val="nil"/>
          <w:right w:val="nil"/>
          <w:between w:val="nil"/>
        </w:pBdr>
        <w:ind w:left="180" w:right="40" w:firstLine="360"/>
        <w:jc w:val="both"/>
      </w:pPr>
      <w:r>
        <w:t xml:space="preserve">These data constitute the basis for </w:t>
      </w:r>
      <w:proofErr w:type="spellStart"/>
      <w:r>
        <w:t>analyzing</w:t>
      </w:r>
      <w:proofErr w:type="spellEnd"/>
      <w:r>
        <w:t xml:space="preserve"> academic performance in key components of the curriculum and enable the subsequent reconstruction of longitudinal academic trajectories, the identification of performance patterns, and the examination of their association with student persistence in the program.</w:t>
      </w:r>
    </w:p>
    <w:p w14:paraId="280245DB" w14:textId="77777777" w:rsidR="00675DD2" w:rsidRPr="00C63834" w:rsidRDefault="00675DD2" w:rsidP="00675DD2">
      <w:pPr>
        <w:tabs>
          <w:tab w:val="left" w:pos="360"/>
        </w:tabs>
        <w:snapToGrid w:val="0"/>
        <w:ind w:firstLine="360"/>
        <w:jc w:val="both"/>
        <w:rPr>
          <w:rFonts w:ascii="Times New Roman" w:hAnsi="Times New Roman" w:cs="Times New Roman"/>
        </w:rPr>
      </w:pPr>
    </w:p>
    <w:p w14:paraId="7A3E9F06" w14:textId="77777777" w:rsidR="00675DD2" w:rsidRPr="00E06D64" w:rsidRDefault="00675DD2" w:rsidP="00675DD2">
      <w:pPr>
        <w:tabs>
          <w:tab w:val="left" w:pos="360"/>
        </w:tabs>
        <w:snapToGrid w:val="0"/>
        <w:jc w:val="both"/>
        <w:rPr>
          <w:rFonts w:ascii="Times New Roman" w:hAnsi="Times New Roman" w:cs="Times New Roman"/>
          <w:i/>
          <w:iCs/>
          <w:lang w:val="en-US"/>
        </w:rPr>
      </w:pPr>
      <w:r w:rsidRPr="00E06D64">
        <w:rPr>
          <w:rFonts w:ascii="Times New Roman" w:hAnsi="Times New Roman" w:cs="Times New Roman"/>
          <w:i/>
          <w:iCs/>
          <w:lang w:val="en-US"/>
        </w:rPr>
        <w:t>B.</w:t>
      </w:r>
      <w:r w:rsidRPr="00E06D64">
        <w:rPr>
          <w:lang w:val="en-US"/>
        </w:rPr>
        <w:tab/>
      </w:r>
      <w:r w:rsidRPr="00E06D64">
        <w:rPr>
          <w:rFonts w:ascii="Times New Roman" w:hAnsi="Times New Roman" w:cs="Times New Roman"/>
          <w:i/>
          <w:iCs/>
          <w:lang w:val="en-US"/>
        </w:rPr>
        <w:t>Data Processing and Integration</w:t>
      </w:r>
    </w:p>
    <w:p w14:paraId="4F67996C" w14:textId="77777777" w:rsidR="00675DD2" w:rsidRPr="00E06D64" w:rsidRDefault="00675DD2" w:rsidP="00675DD2">
      <w:pPr>
        <w:tabs>
          <w:tab w:val="left" w:pos="360"/>
        </w:tabs>
        <w:snapToGrid w:val="0"/>
        <w:ind w:firstLine="360"/>
        <w:jc w:val="both"/>
        <w:rPr>
          <w:rFonts w:ascii="Times New Roman" w:hAnsi="Times New Roman" w:cs="Times New Roman"/>
          <w:lang w:val="en-US"/>
        </w:rPr>
      </w:pPr>
    </w:p>
    <w:p w14:paraId="5475A1F8" w14:textId="77777777" w:rsidR="00675DD2" w:rsidRDefault="00675DD2" w:rsidP="00675DD2">
      <w:pPr>
        <w:pBdr>
          <w:top w:val="nil"/>
          <w:left w:val="nil"/>
          <w:bottom w:val="nil"/>
          <w:right w:val="nil"/>
          <w:between w:val="nil"/>
        </w:pBdr>
        <w:ind w:left="180" w:right="174" w:firstLine="360"/>
        <w:jc w:val="both"/>
      </w:pPr>
      <w:r>
        <w:t xml:space="preserve">Data processing was conducted in the </w:t>
      </w:r>
      <w:r w:rsidRPr="00F1688E">
        <w:rPr>
          <w:i/>
          <w:iCs/>
        </w:rPr>
        <w:t xml:space="preserve">Google </w:t>
      </w:r>
      <w:proofErr w:type="spellStart"/>
      <w:r w:rsidRPr="00F1688E">
        <w:rPr>
          <w:i/>
          <w:iCs/>
        </w:rPr>
        <w:t>Colab</w:t>
      </w:r>
      <w:proofErr w:type="spellEnd"/>
      <w:r>
        <w:t xml:space="preserve"> environment using </w:t>
      </w:r>
      <w:r w:rsidRPr="00F1688E">
        <w:rPr>
          <w:i/>
          <w:iCs/>
        </w:rPr>
        <w:t>Python</w:t>
      </w:r>
      <w:r>
        <w:t>-based analytical libraries. The original information was distributed across seven Excel workbooks corresponding to different academic terms, each containing multiple sheets with sociodemographic information and course-level academic records.</w:t>
      </w:r>
    </w:p>
    <w:p w14:paraId="3FD389D9" w14:textId="77777777" w:rsidR="00675DD2" w:rsidRDefault="00675DD2" w:rsidP="00675DD2">
      <w:pPr>
        <w:pBdr>
          <w:top w:val="nil"/>
          <w:left w:val="nil"/>
          <w:bottom w:val="nil"/>
          <w:right w:val="nil"/>
          <w:between w:val="nil"/>
        </w:pBdr>
        <w:ind w:left="180" w:right="174" w:firstLine="360"/>
        <w:jc w:val="both"/>
      </w:pPr>
      <w:r>
        <w:t>An initial exploratory phase identified redundant attributes across sheets, where multiple variables described the same characteristic. These attributes were removed, along with non-analytical variables such as names, alternative identification numbers, phone numbers, email addresses, and other personal information. The “</w:t>
      </w:r>
      <w:proofErr w:type="spellStart"/>
      <w:r>
        <w:t>Documento</w:t>
      </w:r>
      <w:proofErr w:type="spellEnd"/>
      <w:r>
        <w:t>” field was defined as the unique integration key, given its consistent presence across all records.</w:t>
      </w:r>
    </w:p>
    <w:p w14:paraId="315C331C" w14:textId="77777777" w:rsidR="00675DD2" w:rsidRDefault="00675DD2" w:rsidP="00675DD2">
      <w:pPr>
        <w:pBdr>
          <w:top w:val="nil"/>
          <w:left w:val="nil"/>
          <w:bottom w:val="nil"/>
          <w:right w:val="nil"/>
          <w:between w:val="nil"/>
        </w:pBdr>
        <w:ind w:left="180" w:right="174" w:firstLine="360"/>
        <w:jc w:val="both"/>
      </w:pPr>
      <w:r>
        <w:t xml:space="preserve">The datasets were consolidated into a single structured file, preserving student identifiers across course </w:t>
      </w:r>
      <w:proofErr w:type="spellStart"/>
      <w:r>
        <w:t>enrollments</w:t>
      </w:r>
      <w:proofErr w:type="spellEnd"/>
      <w:r>
        <w:t xml:space="preserve"> to maintain course-level performance granularity. Variations in the number of partial assessments across courses were detected, which complicated direct comparisons. To address this heterogeneity, a standardization procedure was implemented to harmonize </w:t>
      </w:r>
      <w:r>
        <w:t>grading structures. The resulting dataset was clean, internally consistent, and suitable for longitudinal analysis.</w:t>
      </w:r>
    </w:p>
    <w:p w14:paraId="39217484" w14:textId="77777777" w:rsidR="00675DD2" w:rsidRPr="00E06D64" w:rsidRDefault="00675DD2" w:rsidP="00675DD2">
      <w:pPr>
        <w:tabs>
          <w:tab w:val="left" w:pos="360"/>
        </w:tabs>
        <w:snapToGrid w:val="0"/>
        <w:ind w:firstLine="360"/>
        <w:jc w:val="both"/>
        <w:rPr>
          <w:rFonts w:ascii="Times New Roman" w:hAnsi="Times New Roman" w:cs="Times New Roman"/>
        </w:rPr>
      </w:pPr>
    </w:p>
    <w:p w14:paraId="537FC065" w14:textId="77777777" w:rsidR="00675DD2" w:rsidRPr="00F1688E" w:rsidRDefault="00675DD2" w:rsidP="00675DD2">
      <w:pPr>
        <w:tabs>
          <w:tab w:val="left" w:pos="360"/>
        </w:tabs>
        <w:snapToGrid w:val="0"/>
        <w:jc w:val="both"/>
        <w:rPr>
          <w:rFonts w:ascii="Times New Roman" w:hAnsi="Times New Roman" w:cs="Times New Roman"/>
          <w:i/>
          <w:iCs/>
          <w:lang w:val="en-US"/>
        </w:rPr>
      </w:pPr>
      <w:r w:rsidRPr="00F1688E">
        <w:rPr>
          <w:rFonts w:ascii="Times New Roman" w:hAnsi="Times New Roman" w:cs="Times New Roman"/>
          <w:i/>
          <w:iCs/>
          <w:lang w:val="en-US"/>
        </w:rPr>
        <w:t>C.</w:t>
      </w:r>
      <w:r w:rsidRPr="00F1688E">
        <w:rPr>
          <w:lang w:val="en-US"/>
        </w:rPr>
        <w:tab/>
      </w:r>
      <w:r w:rsidRPr="00F1688E">
        <w:rPr>
          <w:rFonts w:ascii="Times New Roman" w:hAnsi="Times New Roman" w:cs="Times New Roman"/>
          <w:i/>
          <w:iCs/>
          <w:lang w:val="en-US"/>
        </w:rPr>
        <w:t>Construction of Academic Trajectories and Persistence Variable</w:t>
      </w:r>
    </w:p>
    <w:p w14:paraId="6704D7BA" w14:textId="77777777" w:rsidR="00675DD2" w:rsidRPr="00F1688E" w:rsidRDefault="00675DD2" w:rsidP="00675DD2">
      <w:pPr>
        <w:tabs>
          <w:tab w:val="left" w:pos="360"/>
        </w:tabs>
        <w:snapToGrid w:val="0"/>
        <w:ind w:firstLine="360"/>
        <w:jc w:val="both"/>
        <w:rPr>
          <w:rFonts w:ascii="Times New Roman" w:hAnsi="Times New Roman" w:cs="Times New Roman"/>
          <w:lang w:val="en-US"/>
        </w:rPr>
      </w:pPr>
    </w:p>
    <w:p w14:paraId="3FD4F022" w14:textId="77777777" w:rsidR="00675DD2" w:rsidRPr="00675DD2" w:rsidRDefault="00675DD2" w:rsidP="00675DD2">
      <w:pPr>
        <w:tabs>
          <w:tab w:val="left" w:pos="360"/>
        </w:tabs>
        <w:snapToGrid w:val="0"/>
        <w:ind w:firstLine="360"/>
        <w:jc w:val="both"/>
        <w:rPr>
          <w:rFonts w:ascii="Times New Roman" w:hAnsi="Times New Roman" w:cs="Times New Roman"/>
          <w:lang w:val="en-US"/>
        </w:rPr>
      </w:pPr>
      <w:r w:rsidRPr="00675DD2">
        <w:rPr>
          <w:rFonts w:ascii="Times New Roman" w:hAnsi="Times New Roman" w:cs="Times New Roman"/>
          <w:lang w:val="en-US"/>
        </w:rPr>
        <w:t>Based on the integrated dataset, student’s academic trajectories were modeled longitudinally. The core variable, “</w:t>
      </w:r>
      <w:proofErr w:type="spellStart"/>
      <w:r w:rsidRPr="00675DD2">
        <w:rPr>
          <w:rFonts w:ascii="Times New Roman" w:hAnsi="Times New Roman" w:cs="Times New Roman"/>
          <w:lang w:val="en-US"/>
        </w:rPr>
        <w:t>Resultados</w:t>
      </w:r>
      <w:proofErr w:type="spellEnd"/>
      <w:r w:rsidRPr="00675DD2">
        <w:rPr>
          <w:rFonts w:ascii="Times New Roman" w:hAnsi="Times New Roman" w:cs="Times New Roman"/>
          <w:lang w:val="en-US"/>
        </w:rPr>
        <w:t xml:space="preserve">,” recorded at the course–semester level, included categories such as </w:t>
      </w:r>
      <w:r w:rsidRPr="00675DD2">
        <w:rPr>
          <w:rFonts w:ascii="Times New Roman" w:hAnsi="Times New Roman" w:cs="Times New Roman"/>
          <w:i/>
          <w:iCs/>
          <w:lang w:val="en-US"/>
        </w:rPr>
        <w:t>Passed, Failed, Withdrawn, and Failed due to Absence</w:t>
      </w:r>
      <w:r w:rsidRPr="00675DD2">
        <w:rPr>
          <w:rFonts w:ascii="Times New Roman" w:hAnsi="Times New Roman" w:cs="Times New Roman"/>
          <w:lang w:val="en-US"/>
        </w:rPr>
        <w:t>. These categories were recoded into a binary indicator (</w:t>
      </w:r>
      <w:proofErr w:type="spellStart"/>
      <w:r w:rsidRPr="00675DD2">
        <w:rPr>
          <w:rFonts w:ascii="Times New Roman" w:hAnsi="Times New Roman" w:cs="Times New Roman"/>
          <w:i/>
          <w:iCs/>
          <w:lang w:val="en-US"/>
        </w:rPr>
        <w:t>resultados_num</w:t>
      </w:r>
      <w:proofErr w:type="spellEnd"/>
      <w:r w:rsidRPr="00675DD2">
        <w:rPr>
          <w:rFonts w:ascii="Times New Roman" w:hAnsi="Times New Roman" w:cs="Times New Roman"/>
          <w:lang w:val="en-US"/>
        </w:rPr>
        <w:t>), where a value of 1 denotes course approval and 0 represents all other outcomes.</w:t>
      </w:r>
    </w:p>
    <w:p w14:paraId="670D21F7" w14:textId="77777777" w:rsidR="00675DD2" w:rsidRPr="00675DD2" w:rsidRDefault="00675DD2" w:rsidP="00675DD2">
      <w:pPr>
        <w:tabs>
          <w:tab w:val="left" w:pos="360"/>
        </w:tabs>
        <w:snapToGrid w:val="0"/>
        <w:ind w:firstLine="360"/>
        <w:jc w:val="both"/>
        <w:rPr>
          <w:rFonts w:ascii="Times New Roman" w:hAnsi="Times New Roman" w:cs="Times New Roman"/>
          <w:lang w:val="en-US"/>
        </w:rPr>
      </w:pPr>
      <w:r w:rsidRPr="00675DD2">
        <w:rPr>
          <w:rFonts w:ascii="Times New Roman" w:hAnsi="Times New Roman" w:cs="Times New Roman"/>
          <w:lang w:val="en-US"/>
        </w:rPr>
        <w:t xml:space="preserve">The records from the seven semesters were merged into a longitudinal </w:t>
      </w:r>
      <w:proofErr w:type="spellStart"/>
      <w:r w:rsidRPr="00675DD2">
        <w:rPr>
          <w:rFonts w:ascii="Times New Roman" w:hAnsi="Times New Roman" w:cs="Times New Roman"/>
          <w:lang w:val="en-US"/>
        </w:rPr>
        <w:t>dataframe</w:t>
      </w:r>
      <w:proofErr w:type="spellEnd"/>
      <w:r w:rsidRPr="00675DD2">
        <w:rPr>
          <w:rFonts w:ascii="Times New Roman" w:hAnsi="Times New Roman" w:cs="Times New Roman"/>
          <w:lang w:val="en-US"/>
        </w:rPr>
        <w:t xml:space="preserve"> using “</w:t>
      </w:r>
      <w:proofErr w:type="spellStart"/>
      <w:r w:rsidRPr="00675DD2">
        <w:rPr>
          <w:rFonts w:ascii="Times New Roman" w:hAnsi="Times New Roman" w:cs="Times New Roman"/>
          <w:lang w:val="en-US"/>
        </w:rPr>
        <w:t>Documento</w:t>
      </w:r>
      <w:proofErr w:type="spellEnd"/>
      <w:r w:rsidRPr="00675DD2">
        <w:rPr>
          <w:rFonts w:ascii="Times New Roman" w:hAnsi="Times New Roman" w:cs="Times New Roman"/>
          <w:lang w:val="en-US"/>
        </w:rPr>
        <w:t>” as the primary key, enabling student-level trajectory reconstruction on a course-by-course basis. Two structural components were defined: (</w:t>
      </w:r>
      <w:proofErr w:type="spellStart"/>
      <w:r w:rsidRPr="00675DD2">
        <w:rPr>
          <w:rFonts w:ascii="Times New Roman" w:hAnsi="Times New Roman" w:cs="Times New Roman"/>
          <w:lang w:val="en-US"/>
        </w:rPr>
        <w:t>i</w:t>
      </w:r>
      <w:proofErr w:type="spellEnd"/>
      <w:r w:rsidRPr="00675DD2">
        <w:rPr>
          <w:rFonts w:ascii="Times New Roman" w:hAnsi="Times New Roman" w:cs="Times New Roman"/>
          <w:lang w:val="en-US"/>
        </w:rPr>
        <w:t>) chronological order, representing the temporal sequence in which each course was taken, and (ii) results sequence, defined as an ordered binary vector summarizing performance in a specific course over time.</w:t>
      </w:r>
    </w:p>
    <w:p w14:paraId="7DDCE3DB" w14:textId="77777777" w:rsidR="00675DD2" w:rsidRPr="00675DD2" w:rsidRDefault="00675DD2" w:rsidP="00675DD2">
      <w:pPr>
        <w:tabs>
          <w:tab w:val="left" w:pos="360"/>
        </w:tabs>
        <w:snapToGrid w:val="0"/>
        <w:ind w:firstLine="360"/>
        <w:jc w:val="both"/>
        <w:rPr>
          <w:rFonts w:ascii="Times New Roman" w:hAnsi="Times New Roman" w:cs="Times New Roman"/>
          <w:lang w:val="en-US"/>
        </w:rPr>
      </w:pPr>
      <w:r w:rsidRPr="00675DD2">
        <w:rPr>
          <w:rFonts w:ascii="Times New Roman" w:hAnsi="Times New Roman" w:cs="Times New Roman"/>
          <w:lang w:val="en-US"/>
        </w:rPr>
        <w:t>Based on this longitudinal representation, a binary Persistence variable was defined to capture whether students successfully passed the foundational courses of the early-stage curriculum. Students whose sequences consisted exclusively of non-passing outcomes and showed no subsequent academic records were classified as non-persistent (0), whereas those who achieved course approval were classified as persistent (1).</w:t>
      </w:r>
    </w:p>
    <w:p w14:paraId="1E1E54AD" w14:textId="77777777" w:rsidR="00675DD2" w:rsidRPr="00F1688E" w:rsidRDefault="00675DD2" w:rsidP="00675DD2">
      <w:pPr>
        <w:tabs>
          <w:tab w:val="left" w:pos="360"/>
        </w:tabs>
        <w:snapToGrid w:val="0"/>
        <w:ind w:firstLine="360"/>
        <w:jc w:val="both"/>
        <w:rPr>
          <w:rFonts w:ascii="Times New Roman" w:hAnsi="Times New Roman" w:cs="Times New Roman"/>
        </w:rPr>
      </w:pPr>
    </w:p>
    <w:p w14:paraId="0CA33E1A" w14:textId="77777777" w:rsidR="00675DD2" w:rsidRPr="00E717AB" w:rsidRDefault="00675DD2" w:rsidP="00675DD2">
      <w:pPr>
        <w:tabs>
          <w:tab w:val="left" w:pos="360"/>
        </w:tabs>
        <w:snapToGrid w:val="0"/>
        <w:jc w:val="both"/>
        <w:rPr>
          <w:rFonts w:ascii="Times New Roman" w:hAnsi="Times New Roman" w:cs="Times New Roman"/>
          <w:i/>
          <w:iCs/>
        </w:rPr>
      </w:pPr>
      <w:r w:rsidRPr="00E717AB">
        <w:rPr>
          <w:rFonts w:ascii="Times New Roman" w:hAnsi="Times New Roman" w:cs="Times New Roman"/>
          <w:i/>
          <w:iCs/>
        </w:rPr>
        <w:t>D.</w:t>
      </w:r>
      <w:r w:rsidRPr="00E717AB">
        <w:tab/>
      </w:r>
      <w:r w:rsidRPr="00E717AB">
        <w:rPr>
          <w:rFonts w:ascii="Times New Roman" w:hAnsi="Times New Roman" w:cs="Times New Roman"/>
          <w:i/>
          <w:iCs/>
        </w:rPr>
        <w:t>Analysis of Academic Performance and Its Relationship with Student Persistence</w:t>
      </w:r>
    </w:p>
    <w:p w14:paraId="6D922955" w14:textId="77777777" w:rsidR="00675DD2" w:rsidRPr="00E717AB" w:rsidRDefault="00675DD2" w:rsidP="00675DD2">
      <w:pPr>
        <w:tabs>
          <w:tab w:val="left" w:pos="360"/>
        </w:tabs>
        <w:snapToGrid w:val="0"/>
        <w:ind w:firstLine="360"/>
        <w:jc w:val="both"/>
        <w:rPr>
          <w:rFonts w:ascii="Times New Roman" w:hAnsi="Times New Roman" w:cs="Times New Roman"/>
        </w:rPr>
      </w:pPr>
    </w:p>
    <w:p w14:paraId="1B48A36F" w14:textId="77777777" w:rsidR="00675DD2" w:rsidRPr="00545B3C" w:rsidRDefault="00675DD2" w:rsidP="00675DD2">
      <w:pPr>
        <w:tabs>
          <w:tab w:val="left" w:pos="360"/>
        </w:tabs>
        <w:snapToGrid w:val="0"/>
        <w:ind w:firstLine="360"/>
        <w:jc w:val="both"/>
        <w:rPr>
          <w:rFonts w:ascii="Times New Roman" w:hAnsi="Times New Roman" w:cs="Times New Roman"/>
          <w:lang w:val="en-US"/>
        </w:rPr>
      </w:pPr>
      <w:r w:rsidRPr="00545B3C">
        <w:rPr>
          <w:rFonts w:ascii="Times New Roman" w:hAnsi="Times New Roman" w:cs="Times New Roman"/>
          <w:lang w:val="en-US"/>
        </w:rPr>
        <w:t>The final stage of the study focused on analyzing the quantitative relationship between academic performance and student persistence. Descriptive statistics and exploratory visualizations were first employed to assess the association between academic load</w:t>
      </w:r>
      <w:r>
        <w:rPr>
          <w:rFonts w:ascii="Times New Roman" w:hAnsi="Times New Roman" w:cs="Times New Roman"/>
          <w:lang w:val="en-US"/>
        </w:rPr>
        <w:t xml:space="preserve"> </w:t>
      </w:r>
      <w:r w:rsidRPr="00545B3C">
        <w:rPr>
          <w:rFonts w:ascii="Times New Roman" w:hAnsi="Times New Roman" w:cs="Times New Roman"/>
          <w:lang w:val="en-US"/>
        </w:rPr>
        <w:t>measured as the number of courses enrolled per semester</w:t>
      </w:r>
      <w:r>
        <w:rPr>
          <w:rFonts w:ascii="Times New Roman" w:hAnsi="Times New Roman" w:cs="Times New Roman"/>
          <w:lang w:val="en-US"/>
        </w:rPr>
        <w:t xml:space="preserve"> </w:t>
      </w:r>
      <w:r w:rsidRPr="00545B3C">
        <w:rPr>
          <w:rFonts w:ascii="Times New Roman" w:hAnsi="Times New Roman" w:cs="Times New Roman"/>
          <w:lang w:val="en-US"/>
        </w:rPr>
        <w:t>and the number of courses passed.</w:t>
      </w:r>
    </w:p>
    <w:p w14:paraId="4CB28F0C" w14:textId="77777777" w:rsidR="00675DD2" w:rsidRPr="00545B3C" w:rsidRDefault="00675DD2" w:rsidP="00675DD2">
      <w:pPr>
        <w:tabs>
          <w:tab w:val="left" w:pos="360"/>
        </w:tabs>
        <w:snapToGrid w:val="0"/>
        <w:ind w:firstLine="360"/>
        <w:jc w:val="both"/>
        <w:rPr>
          <w:rFonts w:ascii="Times New Roman" w:hAnsi="Times New Roman" w:cs="Times New Roman"/>
          <w:lang w:val="en-US"/>
        </w:rPr>
      </w:pPr>
      <w:r w:rsidRPr="00545B3C">
        <w:rPr>
          <w:rFonts w:ascii="Times New Roman" w:hAnsi="Times New Roman" w:cs="Times New Roman"/>
          <w:lang w:val="en-US"/>
        </w:rPr>
        <w:t>A cumulative performance indicator, termed approval rate, was then defined as the proportion of total courses passed to total courses attempted by each student during the observation period. This indicator served as the primary predictor in a logistic regression model, with the binary Persistence variable as the outcome.</w:t>
      </w:r>
    </w:p>
    <w:p w14:paraId="7926A243" w14:textId="77777777" w:rsidR="00675DD2" w:rsidRPr="00545B3C" w:rsidRDefault="00675DD2" w:rsidP="00675DD2">
      <w:pPr>
        <w:tabs>
          <w:tab w:val="left" w:pos="360"/>
        </w:tabs>
        <w:snapToGrid w:val="0"/>
        <w:ind w:firstLine="360"/>
        <w:jc w:val="both"/>
        <w:rPr>
          <w:rFonts w:ascii="Times New Roman" w:hAnsi="Times New Roman" w:cs="Times New Roman"/>
          <w:lang w:val="en-US"/>
        </w:rPr>
      </w:pPr>
      <w:r w:rsidRPr="00545B3C">
        <w:rPr>
          <w:rFonts w:ascii="Times New Roman" w:hAnsi="Times New Roman" w:cs="Times New Roman"/>
          <w:lang w:val="en-US"/>
        </w:rPr>
        <w:t>At the individual level, the association between academic load and performance was further examined by computing the correlation between semester-level enrollment load and the semester approval rate. Based on these correlation coefficients, students were classified into distinct response profiles, which were subsequently contrasted with the Persistence variable to identify differentiated patterns of academic performance.</w:t>
      </w:r>
    </w:p>
    <w:p w14:paraId="5A2BDB8D" w14:textId="77777777" w:rsidR="00675DD2" w:rsidRDefault="00675DD2" w:rsidP="00675DD2">
      <w:pPr>
        <w:tabs>
          <w:tab w:val="left" w:pos="360"/>
        </w:tabs>
        <w:ind w:firstLine="360"/>
        <w:jc w:val="both"/>
        <w:rPr>
          <w:rFonts w:ascii="Times New Roman" w:hAnsi="Times New Roman" w:cs="Times New Roman"/>
          <w:lang w:val="en-US"/>
        </w:rPr>
      </w:pPr>
    </w:p>
    <w:p w14:paraId="6CD3F935" w14:textId="77777777" w:rsidR="00CE7EF8" w:rsidRDefault="00CE7EF8" w:rsidP="00675DD2">
      <w:pPr>
        <w:tabs>
          <w:tab w:val="left" w:pos="360"/>
        </w:tabs>
        <w:ind w:firstLine="360"/>
        <w:jc w:val="both"/>
        <w:rPr>
          <w:rFonts w:ascii="Times New Roman" w:hAnsi="Times New Roman" w:cs="Times New Roman"/>
          <w:lang w:val="en-US"/>
        </w:rPr>
      </w:pPr>
    </w:p>
    <w:p w14:paraId="45928A86" w14:textId="77777777" w:rsidR="00CE7EF8" w:rsidRDefault="00CE7EF8" w:rsidP="00675DD2">
      <w:pPr>
        <w:tabs>
          <w:tab w:val="left" w:pos="360"/>
        </w:tabs>
        <w:ind w:firstLine="360"/>
        <w:jc w:val="both"/>
        <w:rPr>
          <w:rFonts w:ascii="Times New Roman" w:hAnsi="Times New Roman" w:cs="Times New Roman"/>
          <w:lang w:val="en-US"/>
        </w:rPr>
      </w:pPr>
    </w:p>
    <w:p w14:paraId="20612439" w14:textId="77777777" w:rsidR="00CE7EF8" w:rsidRDefault="00CE7EF8" w:rsidP="00675DD2">
      <w:pPr>
        <w:tabs>
          <w:tab w:val="left" w:pos="360"/>
        </w:tabs>
        <w:ind w:firstLine="360"/>
        <w:jc w:val="both"/>
        <w:rPr>
          <w:rFonts w:ascii="Times New Roman" w:hAnsi="Times New Roman" w:cs="Times New Roman"/>
          <w:lang w:val="en-US"/>
        </w:rPr>
      </w:pPr>
    </w:p>
    <w:p w14:paraId="2DE52D1A" w14:textId="77777777" w:rsidR="00675DD2" w:rsidRPr="006D4979" w:rsidRDefault="00675DD2" w:rsidP="00675DD2">
      <w:pPr>
        <w:tabs>
          <w:tab w:val="left" w:pos="360"/>
        </w:tabs>
        <w:spacing w:before="120" w:after="120"/>
        <w:jc w:val="center"/>
        <w:rPr>
          <w:rFonts w:ascii="Times New Roman" w:hAnsi="Times New Roman" w:cs="Times New Roman"/>
          <w:smallCaps/>
          <w:lang w:val="en-US"/>
        </w:rPr>
      </w:pPr>
      <w:r w:rsidRPr="006D4979">
        <w:rPr>
          <w:rFonts w:ascii="Times New Roman" w:hAnsi="Times New Roman" w:cs="Times New Roman"/>
          <w:smallCaps/>
          <w:lang w:val="en-US"/>
        </w:rPr>
        <w:lastRenderedPageBreak/>
        <w:t>III. RESULTS</w:t>
      </w:r>
    </w:p>
    <w:p w14:paraId="4C001849" w14:textId="77777777" w:rsidR="00675DD2" w:rsidRPr="006D4979" w:rsidRDefault="00675DD2" w:rsidP="00675DD2">
      <w:pPr>
        <w:tabs>
          <w:tab w:val="left" w:pos="360"/>
        </w:tabs>
        <w:jc w:val="center"/>
        <w:rPr>
          <w:rFonts w:ascii="Times New Roman" w:hAnsi="Times New Roman" w:cs="Times New Roman"/>
          <w:smallCaps/>
          <w:highlight w:val="yellow"/>
          <w:lang w:val="en-US"/>
        </w:rPr>
      </w:pPr>
    </w:p>
    <w:p w14:paraId="3AB07A31" w14:textId="77777777" w:rsidR="00675DD2" w:rsidRPr="006D4979" w:rsidRDefault="00675DD2" w:rsidP="00675DD2">
      <w:pPr>
        <w:tabs>
          <w:tab w:val="left" w:pos="360"/>
        </w:tabs>
        <w:snapToGrid w:val="0"/>
        <w:jc w:val="both"/>
        <w:rPr>
          <w:rFonts w:ascii="Times New Roman" w:hAnsi="Times New Roman" w:cs="Times New Roman"/>
          <w:i/>
          <w:iCs/>
          <w:lang w:val="en-US"/>
        </w:rPr>
      </w:pPr>
      <w:r w:rsidRPr="006D4979">
        <w:rPr>
          <w:rFonts w:ascii="Times New Roman" w:hAnsi="Times New Roman" w:cs="Times New Roman"/>
          <w:i/>
          <w:iCs/>
          <w:lang w:val="en-US"/>
        </w:rPr>
        <w:t>A.</w:t>
      </w:r>
      <w:r w:rsidRPr="006D4979">
        <w:rPr>
          <w:lang w:val="en-US"/>
        </w:rPr>
        <w:tab/>
      </w:r>
      <w:r w:rsidRPr="006D4979">
        <w:rPr>
          <w:rFonts w:ascii="Times New Roman" w:hAnsi="Times New Roman" w:cs="Times New Roman"/>
          <w:i/>
          <w:iCs/>
          <w:lang w:val="en-US"/>
        </w:rPr>
        <w:t>Joint Distribution of</w:t>
      </w:r>
      <w:r>
        <w:rPr>
          <w:rFonts w:ascii="Times New Roman" w:hAnsi="Times New Roman" w:cs="Times New Roman"/>
          <w:i/>
          <w:iCs/>
          <w:lang w:val="en-US"/>
        </w:rPr>
        <w:t xml:space="preserve"> </w:t>
      </w:r>
      <w:r w:rsidRPr="006D4979">
        <w:rPr>
          <w:rFonts w:ascii="Times New Roman" w:hAnsi="Times New Roman" w:cs="Times New Roman"/>
          <w:i/>
          <w:iCs/>
          <w:lang w:val="en-US"/>
        </w:rPr>
        <w:t>Course Enrollment and Course Completion</w:t>
      </w:r>
    </w:p>
    <w:p w14:paraId="1F4C8331" w14:textId="77777777" w:rsidR="00675DD2" w:rsidRPr="006D4979" w:rsidRDefault="00675DD2" w:rsidP="00675DD2">
      <w:pPr>
        <w:tabs>
          <w:tab w:val="left" w:pos="360"/>
        </w:tabs>
        <w:rPr>
          <w:rFonts w:ascii="Times New Roman" w:hAnsi="Times New Roman" w:cs="Times New Roman"/>
          <w:smallCaps/>
          <w:highlight w:val="yellow"/>
          <w:lang w:val="en-US"/>
        </w:rPr>
      </w:pPr>
    </w:p>
    <w:p w14:paraId="5551BD06" w14:textId="77777777" w:rsidR="00675DD2" w:rsidRDefault="00675DD2" w:rsidP="00675DD2">
      <w:pPr>
        <w:pBdr>
          <w:top w:val="nil"/>
          <w:left w:val="nil"/>
          <w:bottom w:val="nil"/>
          <w:right w:val="nil"/>
          <w:between w:val="nil"/>
        </w:pBdr>
        <w:ind w:left="180" w:right="176" w:firstLine="360"/>
        <w:jc w:val="both"/>
      </w:pPr>
      <w:r>
        <w:t>The initial stage of the results analysis examined the association between the number of courses enrolled and the number of courses passed by students in each semester. To visualize this relationship, heatmaps were generated, with the vertical axis representing semester-level academic load and the horizontal axis indicating the number of courses passed.</w:t>
      </w:r>
    </w:p>
    <w:p w14:paraId="3BCD814C" w14:textId="77777777" w:rsidR="00675DD2" w:rsidRPr="006D4979" w:rsidRDefault="00675DD2" w:rsidP="00675DD2">
      <w:pPr>
        <w:tabs>
          <w:tab w:val="left" w:pos="360"/>
        </w:tabs>
        <w:snapToGrid w:val="0"/>
        <w:ind w:firstLine="360"/>
        <w:jc w:val="both"/>
        <w:rPr>
          <w:rFonts w:ascii="Times New Roman" w:hAnsi="Times New Roman" w:cs="Times New Roman"/>
          <w:lang w:val="en-US"/>
        </w:rPr>
      </w:pPr>
      <w:r w:rsidRPr="006D4979">
        <w:rPr>
          <w:rFonts w:ascii="Times New Roman" w:hAnsi="Times New Roman" w:cs="Times New Roman"/>
          <w:lang w:val="en-US"/>
        </w:rPr>
        <w:t xml:space="preserve">La Fig </w:t>
      </w:r>
      <w:r>
        <w:rPr>
          <w:rFonts w:ascii="Times New Roman" w:hAnsi="Times New Roman" w:cs="Times New Roman"/>
          <w:lang w:val="en-US"/>
        </w:rPr>
        <w:t>1.</w:t>
      </w:r>
      <w:r w:rsidRPr="006D4979">
        <w:rPr>
          <w:rFonts w:ascii="Times New Roman" w:hAnsi="Times New Roman" w:cs="Times New Roman"/>
          <w:lang w:val="en-US"/>
        </w:rPr>
        <w:t xml:space="preserve"> </w:t>
      </w:r>
      <w:r>
        <w:t>illustrates this distribution for the 2022-1 academic term.</w:t>
      </w:r>
    </w:p>
    <w:p w14:paraId="55E60C96" w14:textId="77777777" w:rsidR="00675DD2" w:rsidRDefault="00675DD2" w:rsidP="00675DD2">
      <w:pPr>
        <w:pBdr>
          <w:top w:val="nil"/>
          <w:left w:val="nil"/>
          <w:bottom w:val="nil"/>
          <w:right w:val="nil"/>
          <w:between w:val="nil"/>
        </w:pBdr>
        <w:ind w:left="180" w:right="176" w:firstLine="360"/>
        <w:jc w:val="both"/>
      </w:pPr>
      <w:r>
        <w:t>Overall, the heatmaps reveal increasing heterogeneity in academic performance as academic load rises. Under higher academic loads, students who pass most of their courses coexist with others who experience substantial academic difficulties.</w:t>
      </w:r>
    </w:p>
    <w:p w14:paraId="757DB75F" w14:textId="77777777" w:rsidR="00675DD2" w:rsidRDefault="00675DD2" w:rsidP="00675DD2">
      <w:pPr>
        <w:pBdr>
          <w:top w:val="nil"/>
          <w:left w:val="nil"/>
          <w:bottom w:val="nil"/>
          <w:right w:val="nil"/>
          <w:between w:val="nil"/>
        </w:pBdr>
        <w:ind w:left="180" w:right="176" w:firstLine="360"/>
        <w:jc w:val="both"/>
      </w:pPr>
      <w:r>
        <w:t xml:space="preserve">Conversely, at lower levels of academic load, a noticeable concentration of students pass only a subset or </w:t>
      </w:r>
      <w:r>
        <w:t>none of their enrolled courses. This pattern suggests that a reduced academic load does not, by itself, guarantee improved performance and may instead reflect course repetition dynamics or persistent academic difficulties in foundational courses of the early-stage curriculum.</w:t>
      </w:r>
    </w:p>
    <w:p w14:paraId="72F0B264" w14:textId="77777777" w:rsidR="00675DD2" w:rsidRPr="004B2412" w:rsidRDefault="00675DD2" w:rsidP="00675DD2">
      <w:pPr>
        <w:tabs>
          <w:tab w:val="left" w:pos="360"/>
        </w:tabs>
        <w:snapToGrid w:val="0"/>
        <w:spacing w:before="40"/>
        <w:ind w:firstLine="360"/>
        <w:jc w:val="center"/>
        <w:rPr>
          <w:rFonts w:ascii="Times New Roman" w:hAnsi="Times New Roman" w:cs="Times New Roman"/>
          <w:sz w:val="16"/>
          <w:szCs w:val="16"/>
        </w:rPr>
      </w:pPr>
    </w:p>
    <w:p w14:paraId="16F8A256" w14:textId="77777777" w:rsidR="00675DD2" w:rsidRPr="004B2412" w:rsidRDefault="00675DD2" w:rsidP="00675DD2">
      <w:pPr>
        <w:tabs>
          <w:tab w:val="left" w:pos="360"/>
        </w:tabs>
        <w:snapToGrid w:val="0"/>
        <w:jc w:val="both"/>
        <w:rPr>
          <w:rFonts w:ascii="Times New Roman" w:hAnsi="Times New Roman" w:cs="Times New Roman"/>
          <w:b/>
          <w:bCs/>
          <w:lang w:val="en-US"/>
        </w:rPr>
      </w:pPr>
    </w:p>
    <w:p w14:paraId="5B788865" w14:textId="77777777" w:rsidR="00675DD2" w:rsidRPr="00584E8D" w:rsidRDefault="00675DD2" w:rsidP="00675DD2">
      <w:pPr>
        <w:tabs>
          <w:tab w:val="left" w:pos="360"/>
        </w:tabs>
        <w:snapToGrid w:val="0"/>
        <w:jc w:val="both"/>
        <w:rPr>
          <w:rFonts w:ascii="Times New Roman" w:hAnsi="Times New Roman" w:cs="Times New Roman"/>
          <w:i/>
          <w:iCs/>
          <w:lang w:val="en-US"/>
        </w:rPr>
      </w:pPr>
      <w:r w:rsidRPr="00584E8D">
        <w:rPr>
          <w:rFonts w:ascii="Times New Roman" w:hAnsi="Times New Roman" w:cs="Times New Roman"/>
          <w:i/>
          <w:iCs/>
          <w:lang w:val="en-US"/>
        </w:rPr>
        <w:t>B.</w:t>
      </w:r>
      <w:r w:rsidRPr="00584E8D">
        <w:rPr>
          <w:lang w:val="en-US"/>
        </w:rPr>
        <w:tab/>
      </w:r>
      <w:r w:rsidRPr="00584E8D">
        <w:rPr>
          <w:rFonts w:ascii="Times New Roman" w:hAnsi="Times New Roman" w:cs="Times New Roman"/>
          <w:i/>
          <w:iCs/>
          <w:lang w:val="en-US"/>
        </w:rPr>
        <w:t>Relationship between approval rate and student persistence</w:t>
      </w:r>
    </w:p>
    <w:p w14:paraId="3A156BA6" w14:textId="77777777" w:rsidR="00675DD2" w:rsidRPr="00584E8D" w:rsidRDefault="00675DD2" w:rsidP="00675DD2">
      <w:pPr>
        <w:tabs>
          <w:tab w:val="left" w:pos="360"/>
        </w:tabs>
        <w:snapToGrid w:val="0"/>
        <w:jc w:val="both"/>
        <w:rPr>
          <w:rFonts w:ascii="Times New Roman" w:hAnsi="Times New Roman" w:cs="Times New Roman"/>
          <w:b/>
          <w:bCs/>
          <w:lang w:val="en-US"/>
        </w:rPr>
      </w:pPr>
    </w:p>
    <w:p w14:paraId="62CF9ACA" w14:textId="77777777" w:rsidR="00675DD2" w:rsidRDefault="00675DD2" w:rsidP="00675DD2">
      <w:pPr>
        <w:tabs>
          <w:tab w:val="left" w:pos="360"/>
        </w:tabs>
        <w:snapToGrid w:val="0"/>
        <w:ind w:firstLine="360"/>
        <w:jc w:val="both"/>
        <w:rPr>
          <w:rFonts w:ascii="Times New Roman" w:hAnsi="Times New Roman" w:cs="Times New Roman"/>
        </w:rPr>
      </w:pPr>
      <w:r w:rsidRPr="00CE4461">
        <w:rPr>
          <w:rFonts w:ascii="Times New Roman" w:hAnsi="Times New Roman" w:cs="Times New Roman"/>
        </w:rPr>
        <w:t xml:space="preserve">To synthesize individual academic performance over time, a cumulative course pass rate was constructed for each student, defined as the proportion of the total number of courses successfully completed relative to the total number of courses attempted throughout the student’s academic trajectory, as shown in (1). In this formulation, the term </w:t>
      </w:r>
      <w:proofErr w:type="spellStart"/>
      <w:r>
        <w:rPr>
          <w:rFonts w:ascii="Times New Roman" w:hAnsi="Times New Roman" w:cs="Times New Roman"/>
        </w:rPr>
        <w:t>r</w:t>
      </w:r>
      <w:r w:rsidRPr="00CE4461">
        <w:rPr>
          <w:rFonts w:ascii="Times New Roman" w:hAnsi="Times New Roman" w:cs="Times New Roman"/>
          <w:i/>
          <w:iCs/>
        </w:rPr>
        <w:t>ijk</w:t>
      </w:r>
      <w:proofErr w:type="spellEnd"/>
      <w:r w:rsidRPr="00CE4461">
        <w:rPr>
          <w:rFonts w:ascii="Times New Roman" w:hAnsi="Times New Roman" w:cs="Times New Roman"/>
          <w:i/>
          <w:iCs/>
        </w:rPr>
        <w:t xml:space="preserve">​ </w:t>
      </w:r>
      <w:r w:rsidRPr="00CE4461">
        <w:rPr>
          <w:rFonts w:ascii="Times New Roman" w:hAnsi="Times New Roman" w:cs="Times New Roman"/>
        </w:rPr>
        <w:t xml:space="preserve">represents the outcome obtained by student </w:t>
      </w:r>
      <w:proofErr w:type="spellStart"/>
      <w:r w:rsidRPr="00CE4461">
        <w:rPr>
          <w:rFonts w:ascii="Times New Roman" w:hAnsi="Times New Roman" w:cs="Times New Roman"/>
          <w:i/>
          <w:iCs/>
        </w:rPr>
        <w:t>i</w:t>
      </w:r>
      <w:proofErr w:type="spellEnd"/>
      <w:r w:rsidRPr="00CE4461">
        <w:rPr>
          <w:rFonts w:ascii="Times New Roman" w:hAnsi="Times New Roman" w:cs="Times New Roman"/>
        </w:rPr>
        <w:t xml:space="preserve"> in course </w:t>
      </w:r>
      <w:r w:rsidRPr="00CE4461">
        <w:rPr>
          <w:rFonts w:ascii="Times New Roman" w:hAnsi="Times New Roman" w:cs="Times New Roman"/>
          <w:i/>
          <w:iCs/>
        </w:rPr>
        <w:t>j</w:t>
      </w:r>
      <w:r w:rsidRPr="00CE4461">
        <w:rPr>
          <w:rFonts w:ascii="Times New Roman" w:hAnsi="Times New Roman" w:cs="Times New Roman"/>
        </w:rPr>
        <w:t xml:space="preserve"> during attempt </w:t>
      </w:r>
      <w:r w:rsidRPr="00CE4461">
        <w:rPr>
          <w:rFonts w:ascii="Times New Roman" w:hAnsi="Times New Roman" w:cs="Times New Roman"/>
          <w:i/>
          <w:iCs/>
        </w:rPr>
        <w:t>k</w:t>
      </w:r>
      <w:r w:rsidRPr="00CE4461">
        <w:rPr>
          <w:rFonts w:ascii="Times New Roman" w:hAnsi="Times New Roman" w:cs="Times New Roman"/>
        </w:rPr>
        <w:t>, taking the value 1 if the course was successfully completed and 0 otherwise. The set S</w:t>
      </w:r>
      <w:r w:rsidRPr="00CE4461">
        <w:rPr>
          <w:rFonts w:ascii="Times New Roman" w:hAnsi="Times New Roman" w:cs="Times New Roman"/>
          <w:i/>
          <w:iCs/>
        </w:rPr>
        <w:t>i</w:t>
      </w:r>
      <w:r>
        <w:rPr>
          <w:rFonts w:ascii="Times New Roman" w:hAnsi="Times New Roman" w:cs="Times New Roman"/>
        </w:rPr>
        <w:t xml:space="preserve"> </w:t>
      </w:r>
      <w:r w:rsidRPr="00CE4461">
        <w:rPr>
          <w:rFonts w:ascii="Times New Roman" w:hAnsi="Times New Roman" w:cs="Times New Roman"/>
        </w:rPr>
        <w:t xml:space="preserve">comprises all courses attempted by student </w:t>
      </w:r>
      <w:proofErr w:type="spellStart"/>
      <w:r w:rsidRPr="00CE4461">
        <w:rPr>
          <w:rFonts w:ascii="Times New Roman" w:hAnsi="Times New Roman" w:cs="Times New Roman"/>
          <w:i/>
          <w:iCs/>
        </w:rPr>
        <w:t>i</w:t>
      </w:r>
      <w:proofErr w:type="spellEnd"/>
      <w:r w:rsidRPr="00CE4461">
        <w:rPr>
          <w:rFonts w:ascii="Times New Roman" w:hAnsi="Times New Roman" w:cs="Times New Roman"/>
        </w:rPr>
        <w:t xml:space="preserve">, while </w:t>
      </w:r>
      <w:proofErr w:type="spellStart"/>
      <w:r w:rsidRPr="00CE4461">
        <w:rPr>
          <w:rFonts w:ascii="Times New Roman" w:hAnsi="Times New Roman" w:cs="Times New Roman"/>
          <w:i/>
          <w:iCs/>
        </w:rPr>
        <w:t>nij</w:t>
      </w:r>
      <w:proofErr w:type="spellEnd"/>
      <w:r>
        <w:rPr>
          <w:rFonts w:ascii="Times New Roman" w:hAnsi="Times New Roman" w:cs="Times New Roman"/>
        </w:rPr>
        <w:t xml:space="preserve"> </w:t>
      </w:r>
      <w:r w:rsidRPr="00CE4461">
        <w:rPr>
          <w:rFonts w:ascii="Times New Roman" w:hAnsi="Times New Roman" w:cs="Times New Roman"/>
        </w:rPr>
        <w:t xml:space="preserve">denotes the number of attempts made by the student to successfully complete course </w:t>
      </w:r>
      <w:r w:rsidRPr="7D190DE2">
        <w:rPr>
          <w:rFonts w:ascii="Cambria Math" w:hAnsi="Cambria Math" w:cs="Cambria Math"/>
          <w:lang w:val="es-CO"/>
        </w:rPr>
        <w:t>𝑗</w:t>
      </w:r>
      <w:r w:rsidRPr="00CE4461">
        <w:rPr>
          <w:rFonts w:ascii="Times New Roman" w:hAnsi="Times New Roman" w:cs="Times New Roman"/>
        </w:rPr>
        <w:t>.</w:t>
      </w:r>
    </w:p>
    <w:p w14:paraId="34C6744B" w14:textId="286CF6AC" w:rsidR="00D70242" w:rsidRPr="00675DD2" w:rsidRDefault="00D70242" w:rsidP="006733A7">
      <w:pPr>
        <w:tabs>
          <w:tab w:val="left" w:pos="360"/>
        </w:tabs>
        <w:snapToGrid w:val="0"/>
        <w:jc w:val="both"/>
        <w:rPr>
          <w:rFonts w:ascii="Times New Roman" w:hAnsi="Times New Roman" w:cs="Times New Roman"/>
        </w:rPr>
      </w:pPr>
    </w:p>
    <w:p w14:paraId="6302FE12" w14:textId="77777777" w:rsidR="006733A7" w:rsidRPr="00675DD2" w:rsidRDefault="006733A7" w:rsidP="00D70242">
      <w:pPr>
        <w:tabs>
          <w:tab w:val="left" w:pos="360"/>
        </w:tabs>
        <w:snapToGrid w:val="0"/>
        <w:ind w:firstLine="360"/>
        <w:jc w:val="both"/>
        <w:rPr>
          <w:rFonts w:ascii="Times New Roman" w:hAnsi="Times New Roman" w:cs="Times New Roman"/>
          <w:lang w:val="en-US"/>
        </w:rPr>
        <w:sectPr w:rsidR="006733A7" w:rsidRPr="00675DD2" w:rsidSect="006733A7">
          <w:footerReference w:type="default" r:id="rId8"/>
          <w:type w:val="continuous"/>
          <w:pgSz w:w="12240" w:h="15840" w:code="1"/>
          <w:pgMar w:top="1080" w:right="900" w:bottom="1890" w:left="900" w:header="720" w:footer="720" w:gutter="0"/>
          <w:cols w:num="2" w:space="360"/>
        </w:sectPr>
      </w:pPr>
    </w:p>
    <w:p w14:paraId="143D2A2F" w14:textId="77777777" w:rsidR="00675DD2" w:rsidRDefault="00675DD2" w:rsidP="006733A7">
      <w:pPr>
        <w:tabs>
          <w:tab w:val="left" w:pos="360"/>
        </w:tabs>
        <w:jc w:val="center"/>
        <w:rPr>
          <w:lang w:val="es-CO"/>
        </w:rPr>
      </w:pPr>
    </w:p>
    <w:p w14:paraId="44DFAC7C" w14:textId="77777777" w:rsidR="00675DD2" w:rsidRDefault="00675DD2" w:rsidP="006733A7">
      <w:pPr>
        <w:tabs>
          <w:tab w:val="left" w:pos="360"/>
        </w:tabs>
        <w:jc w:val="center"/>
        <w:rPr>
          <w:lang w:val="es-CO"/>
        </w:rPr>
      </w:pPr>
    </w:p>
    <w:p w14:paraId="2F45CC20" w14:textId="098816CF" w:rsidR="006733A7" w:rsidRPr="006733A7" w:rsidRDefault="00FC027F" w:rsidP="006733A7">
      <w:pPr>
        <w:tabs>
          <w:tab w:val="left" w:pos="360"/>
        </w:tabs>
        <w:jc w:val="center"/>
        <w:rPr>
          <w:lang w:val="es-CO"/>
        </w:rPr>
      </w:pPr>
      <w:r w:rsidRPr="005767EC">
        <w:rPr>
          <w:lang w:val="es-CO"/>
        </w:rPr>
        <w:drawing>
          <wp:inline distT="0" distB="0" distL="0" distR="0" wp14:anchorId="24E2A5A9" wp14:editId="1489F906">
            <wp:extent cx="5213947" cy="395287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2504" cy="3959362"/>
                    </a:xfrm>
                    <a:prstGeom prst="rect">
                      <a:avLst/>
                    </a:prstGeom>
                    <a:noFill/>
                    <a:ln>
                      <a:noFill/>
                    </a:ln>
                  </pic:spPr>
                </pic:pic>
              </a:graphicData>
            </a:graphic>
          </wp:inline>
        </w:drawing>
      </w:r>
    </w:p>
    <w:p w14:paraId="59F135D7" w14:textId="77777777" w:rsidR="00FC027F" w:rsidRDefault="00FC027F" w:rsidP="00FC027F">
      <w:pPr>
        <w:tabs>
          <w:tab w:val="left" w:pos="360"/>
        </w:tabs>
        <w:snapToGrid w:val="0"/>
        <w:spacing w:before="40"/>
        <w:ind w:firstLine="360"/>
        <w:jc w:val="center"/>
        <w:rPr>
          <w:rFonts w:ascii="Times New Roman" w:hAnsi="Times New Roman" w:cs="Times New Roman"/>
          <w:sz w:val="16"/>
          <w:szCs w:val="16"/>
        </w:rPr>
      </w:pPr>
      <w:r w:rsidRPr="005767EC">
        <w:rPr>
          <w:rFonts w:ascii="Times New Roman" w:hAnsi="Times New Roman" w:cs="Times New Roman"/>
          <w:sz w:val="16"/>
          <w:szCs w:val="16"/>
        </w:rPr>
        <w:t>Fig 1. Heatmap illustrating the joint distribution between the number of courses enrolled and the number of courses successfully completed during the</w:t>
      </w:r>
    </w:p>
    <w:p w14:paraId="492DA97B" w14:textId="1C1482F8" w:rsidR="00FC027F" w:rsidRDefault="00FC027F" w:rsidP="00FC027F">
      <w:pPr>
        <w:tabs>
          <w:tab w:val="left" w:pos="360"/>
        </w:tabs>
        <w:snapToGrid w:val="0"/>
        <w:spacing w:before="40"/>
        <w:ind w:firstLine="360"/>
        <w:jc w:val="center"/>
        <w:rPr>
          <w:rFonts w:ascii="Times New Roman" w:hAnsi="Times New Roman" w:cs="Times New Roman"/>
          <w:sz w:val="16"/>
          <w:szCs w:val="16"/>
        </w:rPr>
      </w:pPr>
      <w:r w:rsidRPr="005767EC">
        <w:rPr>
          <w:rFonts w:ascii="Times New Roman" w:hAnsi="Times New Roman" w:cs="Times New Roman"/>
          <w:sz w:val="16"/>
          <w:szCs w:val="16"/>
        </w:rPr>
        <w:t xml:space="preserve"> 2022-1 academic term.</w:t>
      </w:r>
    </w:p>
    <w:p w14:paraId="2A037294" w14:textId="77777777" w:rsidR="00675DD2" w:rsidRDefault="00675DD2" w:rsidP="00675DD2">
      <w:pPr>
        <w:tabs>
          <w:tab w:val="left" w:pos="360"/>
        </w:tabs>
        <w:snapToGrid w:val="0"/>
        <w:spacing w:before="40"/>
        <w:ind w:firstLine="360"/>
        <w:rPr>
          <w:rFonts w:ascii="Times New Roman" w:hAnsi="Times New Roman" w:cs="Times New Roman"/>
          <w:sz w:val="16"/>
          <w:szCs w:val="16"/>
        </w:rPr>
      </w:pPr>
    </w:p>
    <w:p w14:paraId="37F5B7AC" w14:textId="77777777" w:rsidR="00675DD2" w:rsidRDefault="00675DD2" w:rsidP="00675DD2">
      <w:pPr>
        <w:tabs>
          <w:tab w:val="left" w:pos="360"/>
        </w:tabs>
        <w:snapToGrid w:val="0"/>
        <w:spacing w:before="40"/>
        <w:ind w:firstLine="360"/>
        <w:rPr>
          <w:rFonts w:ascii="Times New Roman" w:hAnsi="Times New Roman" w:cs="Times New Roman"/>
          <w:sz w:val="16"/>
          <w:szCs w:val="16"/>
        </w:rPr>
      </w:pPr>
    </w:p>
    <w:p w14:paraId="0BEB1211" w14:textId="77777777" w:rsidR="00675DD2" w:rsidRPr="005767EC" w:rsidRDefault="00675DD2" w:rsidP="00675DD2">
      <w:pPr>
        <w:tabs>
          <w:tab w:val="left" w:pos="360"/>
        </w:tabs>
        <w:snapToGrid w:val="0"/>
        <w:spacing w:before="40"/>
        <w:rPr>
          <w:rFonts w:ascii="Times New Roman" w:hAnsi="Times New Roman" w:cs="Times New Roman"/>
          <w:sz w:val="16"/>
          <w:szCs w:val="16"/>
        </w:rPr>
      </w:pPr>
    </w:p>
    <w:p w14:paraId="112B87B6" w14:textId="77777777" w:rsidR="006733A7" w:rsidRPr="00FC027F" w:rsidRDefault="006733A7" w:rsidP="00D70242">
      <w:pPr>
        <w:tabs>
          <w:tab w:val="left" w:pos="360"/>
        </w:tabs>
        <w:snapToGrid w:val="0"/>
        <w:jc w:val="both"/>
        <w:rPr>
          <w:rFonts w:ascii="Times New Roman" w:hAnsi="Times New Roman" w:cs="Times New Roman"/>
          <w:b/>
          <w:bCs/>
        </w:rPr>
        <w:sectPr w:rsidR="006733A7" w:rsidRPr="00FC027F" w:rsidSect="006733A7">
          <w:type w:val="continuous"/>
          <w:pgSz w:w="12240" w:h="15840" w:code="1"/>
          <w:pgMar w:top="1080" w:right="900" w:bottom="1890" w:left="900" w:header="720" w:footer="720" w:gutter="0"/>
          <w:cols w:space="360"/>
        </w:sectPr>
      </w:pPr>
    </w:p>
    <w:tbl>
      <w:tblPr>
        <w:tblW w:w="0" w:type="auto"/>
        <w:tblLook w:val="04A0" w:firstRow="1" w:lastRow="0" w:firstColumn="1" w:lastColumn="0" w:noHBand="0" w:noVBand="1"/>
      </w:tblPr>
      <w:tblGrid>
        <w:gridCol w:w="4590"/>
        <w:gridCol w:w="450"/>
      </w:tblGrid>
      <w:tr w:rsidR="00D70242" w14:paraId="2E248007" w14:textId="77777777" w:rsidTr="00DA6B2F">
        <w:tc>
          <w:tcPr>
            <w:tcW w:w="4590" w:type="dxa"/>
            <w:vAlign w:val="center"/>
          </w:tcPr>
          <w:p w14:paraId="02004223" w14:textId="3839B4DD" w:rsidR="00D70242" w:rsidRPr="00291C9F" w:rsidRDefault="00000000">
            <w:pPr>
              <w:jc w:val="center"/>
            </w:pPr>
            <m:oMathPara>
              <m:oMath>
                <m:sSub>
                  <m:sSubPr>
                    <m:ctrlPr>
                      <w:rPr>
                        <w:rFonts w:ascii="Cambria Math" w:hAnsi="Cambria Math"/>
                      </w:rPr>
                    </m:ctrlPr>
                  </m:sSubPr>
                  <m:e>
                    <m:r>
                      <w:rPr>
                        <w:rFonts w:ascii="Cambria Math" w:hAnsi="Cambria Math"/>
                      </w:rPr>
                      <m:t>PassRate</m:t>
                    </m:r>
                  </m:e>
                  <m:sub>
                    <m:r>
                      <w:rPr>
                        <w:rFonts w:ascii="Cambria Math" w:hAnsi="Cambria Math"/>
                      </w:rPr>
                      <m:t>i</m:t>
                    </m:r>
                  </m:sub>
                </m:sSub>
                <m:r>
                  <w:rPr>
                    <w:rFonts w:ascii="Cambria Math" w:hAnsi="Cambria Math"/>
                  </w:rPr>
                  <m:t> = </m:t>
                </m:r>
                <m:f>
                  <m:fPr>
                    <m:ctrlPr>
                      <w:rPr>
                        <w:rFonts w:ascii="Cambria Math" w:hAnsi="Cambria Math"/>
                      </w:rPr>
                    </m:ctrlPr>
                  </m:fPr>
                  <m:num>
                    <m:nary>
                      <m:naryPr>
                        <m:chr m:val="∑"/>
                        <m:ctrlPr>
                          <w:rPr>
                            <w:rFonts w:ascii="Cambria Math" w:hAnsi="Cambria Math"/>
                          </w:rPr>
                        </m:ctrlPr>
                      </m:naryPr>
                      <m:sub>
                        <m:r>
                          <w:rPr>
                            <w:rFonts w:ascii="Cambria Math" w:hAnsi="Cambria Math"/>
                          </w:rPr>
                          <m:t>j ϵ </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nary>
                          <m:naryPr>
                            <m:chr m:val="∑"/>
                            <m:ctrlPr>
                              <w:rPr>
                                <w:rFonts w:ascii="Cambria Math" w:hAnsi="Cambria Math"/>
                              </w:rPr>
                            </m:ctrlPr>
                          </m:naryPr>
                          <m:sub>
                            <m:r>
                              <w:rPr>
                                <w:rFonts w:ascii="Cambria Math" w:hAnsi="Cambria Math"/>
                              </w:rPr>
                              <m:t>k=1</m:t>
                            </m:r>
                          </m:sub>
                          <m:sup>
                            <m:sSub>
                              <m:sSubPr>
                                <m:ctrlPr>
                                  <w:rPr>
                                    <w:rFonts w:ascii="Cambria Math" w:hAnsi="Cambria Math"/>
                                  </w:rPr>
                                </m:ctrlPr>
                              </m:sSubPr>
                              <m:e>
                                <m:r>
                                  <w:rPr>
                                    <w:rFonts w:ascii="Cambria Math" w:hAnsi="Cambria Math"/>
                                  </w:rPr>
                                  <m:t>n</m:t>
                                </m:r>
                              </m:e>
                              <m:sub>
                                <m:r>
                                  <w:rPr>
                                    <w:rFonts w:ascii="Cambria Math" w:hAnsi="Cambria Math"/>
                                  </w:rPr>
                                  <m:t>ij</m:t>
                                </m:r>
                              </m:sub>
                            </m:sSub>
                          </m:sup>
                          <m:e>
                            <m:sSub>
                              <m:sSubPr>
                                <m:ctrlPr>
                                  <w:rPr>
                                    <w:rFonts w:ascii="Cambria Math" w:hAnsi="Cambria Math"/>
                                  </w:rPr>
                                </m:ctrlPr>
                              </m:sSubPr>
                              <m:e>
                                <m:r>
                                  <w:rPr>
                                    <w:rFonts w:ascii="Cambria Math" w:hAnsi="Cambria Math"/>
                                  </w:rPr>
                                  <m:t>r</m:t>
                                </m:r>
                              </m:e>
                              <m:sub>
                                <m:r>
                                  <w:rPr>
                                    <w:rFonts w:ascii="Cambria Math" w:hAnsi="Cambria Math"/>
                                  </w:rPr>
                                  <m:t>ijk</m:t>
                                </m:r>
                              </m:sub>
                            </m:sSub>
                          </m:e>
                        </m:nary>
                      </m:e>
                    </m:nary>
                  </m:num>
                  <m:den>
                    <m:r>
                      <w:rPr>
                        <w:rFonts w:ascii="Cambria Math" w:hAnsi="Cambria Math"/>
                      </w:rPr>
                      <m:t> </m:t>
                    </m:r>
                    <m:nary>
                      <m:naryPr>
                        <m:chr m:val="∑"/>
                        <m:ctrlPr>
                          <w:rPr>
                            <w:rFonts w:ascii="Cambria Math" w:hAnsi="Cambria Math"/>
                          </w:rPr>
                        </m:ctrlPr>
                      </m:naryPr>
                      <m:sub>
                        <m:r>
                          <w:rPr>
                            <w:rFonts w:ascii="Cambria Math" w:hAnsi="Cambria Math"/>
                          </w:rPr>
                          <m:t>j ϵ </m:t>
                        </m:r>
                        <m:sSub>
                          <m:sSubPr>
                            <m:ctrlPr>
                              <w:rPr>
                                <w:rFonts w:ascii="Cambria Math" w:hAnsi="Cambria Math"/>
                              </w:rPr>
                            </m:ctrlPr>
                          </m:sSubPr>
                          <m:e>
                            <m:r>
                              <w:rPr>
                                <w:rFonts w:ascii="Cambria Math" w:hAnsi="Cambria Math"/>
                              </w:rPr>
                              <m:t>S</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ij</m:t>
                            </m:r>
                          </m:sub>
                        </m:sSub>
                      </m:e>
                    </m:nary>
                  </m:den>
                </m:f>
              </m:oMath>
            </m:oMathPara>
          </w:p>
          <w:p w14:paraId="2946DB82" w14:textId="77777777" w:rsidR="00D70242" w:rsidRDefault="00D70242">
            <w:pPr>
              <w:tabs>
                <w:tab w:val="left" w:pos="360"/>
              </w:tabs>
              <w:snapToGrid w:val="0"/>
              <w:jc w:val="center"/>
              <w:rPr>
                <w:rFonts w:ascii="Times New Roman" w:hAnsi="Times New Roman" w:cs="Times New Roman"/>
                <w:lang w:val="es-CO"/>
              </w:rPr>
            </w:pPr>
          </w:p>
        </w:tc>
        <w:tc>
          <w:tcPr>
            <w:tcW w:w="450" w:type="dxa"/>
            <w:vAlign w:val="center"/>
          </w:tcPr>
          <w:p w14:paraId="0FABD395" w14:textId="77777777" w:rsidR="00D70242" w:rsidRDefault="00D70242">
            <w:pPr>
              <w:tabs>
                <w:tab w:val="left" w:pos="360"/>
              </w:tabs>
              <w:snapToGrid w:val="0"/>
              <w:jc w:val="center"/>
              <w:rPr>
                <w:rFonts w:ascii="Times New Roman" w:hAnsi="Times New Roman" w:cs="Times New Roman"/>
                <w:lang w:val="es-CO"/>
              </w:rPr>
            </w:pPr>
            <w:r>
              <w:rPr>
                <w:rFonts w:ascii="Times New Roman" w:hAnsi="Times New Roman" w:cs="Times New Roman"/>
                <w:lang w:val="es-CO"/>
              </w:rPr>
              <w:t>(1)</w:t>
            </w:r>
          </w:p>
        </w:tc>
      </w:tr>
    </w:tbl>
    <w:p w14:paraId="5997CC1D" w14:textId="77777777" w:rsidR="00D70242" w:rsidRPr="00C919B5" w:rsidRDefault="00D70242" w:rsidP="00D70242">
      <w:pPr>
        <w:jc w:val="center"/>
        <w:rPr>
          <w:rFonts w:ascii="Times New Roman" w:hAnsi="Times New Roman" w:cs="Times New Roman"/>
          <w:lang w:val="es-CO"/>
        </w:rPr>
      </w:pPr>
    </w:p>
    <w:p w14:paraId="026BCEF4" w14:textId="77777777" w:rsidR="00675DD2" w:rsidRDefault="00675DD2" w:rsidP="00675DD2">
      <w:pPr>
        <w:pBdr>
          <w:top w:val="nil"/>
          <w:left w:val="nil"/>
          <w:bottom w:val="nil"/>
          <w:right w:val="nil"/>
          <w:between w:val="nil"/>
        </w:pBdr>
        <w:ind w:left="180" w:right="38" w:firstLine="360"/>
        <w:jc w:val="both"/>
      </w:pPr>
      <w:r>
        <w:t xml:space="preserve">The relationship between this index and student </w:t>
      </w:r>
      <w:bookmarkStart w:id="0" w:name="_Hlk222149994"/>
      <w:r>
        <w:t>persistence was subsequently examined using a logistic regression model, with persistence specified as a binary dependent variable. The dataset was partitioned into 70 % for model training and 30 % for testing to evaluate predictive performance.</w:t>
      </w:r>
    </w:p>
    <w:p w14:paraId="7CEF16D1" w14:textId="77777777" w:rsidR="00675DD2" w:rsidRDefault="00675DD2" w:rsidP="00675DD2">
      <w:pPr>
        <w:tabs>
          <w:tab w:val="left" w:pos="360"/>
        </w:tabs>
        <w:snapToGrid w:val="0"/>
        <w:ind w:firstLine="360"/>
        <w:jc w:val="both"/>
      </w:pPr>
      <w:r>
        <w:t xml:space="preserve">The results demonstrate strong predictive capability, with an overall accuracy of approximately 92 %. These findings indicate that the approval rate is a statistically meaningful predictor of student persistence. Fig. 2 illustrates the estimated probability of persistence as a function of the approval rate, revealing a positive and non-linear relationship. Notably, the probability of persistence increases more sharply at intermediate and higher index values, suggesting the presence of academic performance thresholds associated with sustained </w:t>
      </w:r>
      <w:proofErr w:type="spellStart"/>
      <w:r>
        <w:t>enrollment</w:t>
      </w:r>
      <w:proofErr w:type="spellEnd"/>
      <w:r>
        <w:t xml:space="preserve"> in the program.</w:t>
      </w:r>
    </w:p>
    <w:p w14:paraId="7B4B4842" w14:textId="77777777" w:rsidR="00675DD2" w:rsidRPr="00AB43C3" w:rsidRDefault="00675DD2" w:rsidP="00675DD2">
      <w:pPr>
        <w:tabs>
          <w:tab w:val="left" w:pos="360"/>
        </w:tabs>
        <w:snapToGrid w:val="0"/>
        <w:ind w:firstLine="360"/>
        <w:jc w:val="both"/>
        <w:rPr>
          <w:rFonts w:ascii="Times New Roman" w:hAnsi="Times New Roman" w:cs="Times New Roman"/>
          <w:lang w:val="en-US"/>
        </w:rPr>
      </w:pPr>
    </w:p>
    <w:p w14:paraId="12201852" w14:textId="77777777" w:rsidR="00675DD2" w:rsidRPr="00206033" w:rsidRDefault="00675DD2" w:rsidP="00675DD2">
      <w:pPr>
        <w:widowControl w:val="0"/>
        <w:pBdr>
          <w:top w:val="nil"/>
          <w:left w:val="nil"/>
          <w:bottom w:val="nil"/>
          <w:right w:val="nil"/>
          <w:between w:val="nil"/>
        </w:pBdr>
        <w:tabs>
          <w:tab w:val="left" w:pos="538"/>
          <w:tab w:val="left" w:pos="540"/>
        </w:tabs>
        <w:overflowPunct/>
        <w:autoSpaceDE/>
        <w:autoSpaceDN/>
        <w:adjustRightInd/>
        <w:jc w:val="both"/>
        <w:textAlignment w:val="auto"/>
        <w:rPr>
          <w:i/>
          <w:iCs/>
          <w:color w:val="000000"/>
          <w:lang w:val="en-US"/>
        </w:rPr>
      </w:pPr>
      <w:r w:rsidRPr="00206033">
        <w:rPr>
          <w:rFonts w:ascii="Times New Roman" w:hAnsi="Times New Roman" w:cs="Times New Roman"/>
          <w:i/>
          <w:iCs/>
          <w:lang w:val="en-US"/>
        </w:rPr>
        <w:t>C.</w:t>
      </w:r>
      <w:r w:rsidRPr="00206033">
        <w:rPr>
          <w:lang w:val="en-US"/>
        </w:rPr>
        <w:tab/>
      </w:r>
      <w:r w:rsidRPr="00206033">
        <w:rPr>
          <w:i/>
          <w:iCs/>
          <w:color w:val="000000"/>
          <w:lang w:val="en-US"/>
        </w:rPr>
        <w:t xml:space="preserve">Relations </w:t>
      </w:r>
      <w:r w:rsidRPr="00206033">
        <w:rPr>
          <w:i/>
          <w:iCs/>
          <w:lang w:val="en-US"/>
        </w:rPr>
        <w:t>between academic course load and student performance</w:t>
      </w:r>
    </w:p>
    <w:p w14:paraId="7451BD81" w14:textId="77777777" w:rsidR="00675DD2" w:rsidRPr="00206033" w:rsidRDefault="00675DD2" w:rsidP="00675DD2">
      <w:pPr>
        <w:tabs>
          <w:tab w:val="left" w:pos="360"/>
        </w:tabs>
        <w:snapToGrid w:val="0"/>
        <w:jc w:val="both"/>
        <w:rPr>
          <w:rFonts w:ascii="Times New Roman" w:hAnsi="Times New Roman" w:cs="Times New Roman"/>
          <w:i/>
          <w:iCs/>
          <w:lang w:val="en-US"/>
        </w:rPr>
      </w:pPr>
    </w:p>
    <w:p w14:paraId="7EDFF525" w14:textId="77777777" w:rsidR="00675DD2" w:rsidRDefault="00675DD2" w:rsidP="00675DD2">
      <w:pPr>
        <w:pBdr>
          <w:top w:val="nil"/>
          <w:left w:val="nil"/>
          <w:bottom w:val="nil"/>
          <w:right w:val="nil"/>
          <w:between w:val="nil"/>
        </w:pBdr>
        <w:ind w:left="180" w:right="178" w:firstLine="360"/>
        <w:jc w:val="both"/>
      </w:pPr>
      <w:r>
        <w:t xml:space="preserve">To further examine the relationship between academic load and performance, an individual-level analysis was conducted to assess the association between the number of courses enrolled per semester and the semester approval </w:t>
      </w:r>
      <w:r>
        <w:t>rate. For each student, a correlation coefficient between these two variables was calculated, considering only cases with sufficient longitudinal information.</w:t>
      </w:r>
    </w:p>
    <w:p w14:paraId="70CC933C" w14:textId="77777777" w:rsidR="00675DD2" w:rsidRDefault="00675DD2" w:rsidP="00675DD2">
      <w:pPr>
        <w:pBdr>
          <w:top w:val="nil"/>
          <w:left w:val="nil"/>
          <w:bottom w:val="nil"/>
          <w:right w:val="nil"/>
          <w:between w:val="nil"/>
        </w:pBdr>
        <w:ind w:left="180" w:right="178" w:firstLine="360"/>
        <w:jc w:val="both"/>
      </w:pPr>
      <w:r>
        <w:t xml:space="preserve">The distribution of these correlations (Fig. 3) reveals substantial heterogeneity in students’ responses to changes in academic load. Strong negative correlations are observed, along with positive correlations and values close to zero, indicating that the effect of academic load on performance is not uniform across the </w:t>
      </w:r>
      <w:proofErr w:type="spellStart"/>
      <w:r>
        <w:t>analyzed</w:t>
      </w:r>
      <w:proofErr w:type="spellEnd"/>
      <w:r>
        <w:t xml:space="preserve"> population.</w:t>
      </w:r>
    </w:p>
    <w:p w14:paraId="73395C4E" w14:textId="77777777" w:rsidR="00675DD2" w:rsidRDefault="00675DD2" w:rsidP="00675DD2">
      <w:pPr>
        <w:pBdr>
          <w:top w:val="nil"/>
          <w:left w:val="nil"/>
          <w:bottom w:val="nil"/>
          <w:right w:val="nil"/>
          <w:between w:val="nil"/>
        </w:pBdr>
        <w:ind w:left="180" w:right="178" w:firstLine="360"/>
        <w:jc w:val="both"/>
      </w:pPr>
      <w:r>
        <w:t>Based on these results, students were classified into three main profiles: (</w:t>
      </w:r>
      <w:proofErr w:type="spellStart"/>
      <w:r>
        <w:t>i</w:t>
      </w:r>
      <w:proofErr w:type="spellEnd"/>
      <w:r>
        <w:t>) overload students, characterized by negative correlations; (ii) students whose performance improves with higher academic load; and (iii) independent students, showing no clear relationship between load and performance. Table I summarizes the distribution of these profiles and their relationship with overall academic performance.</w:t>
      </w:r>
    </w:p>
    <w:bookmarkEnd w:id="0"/>
    <w:p w14:paraId="7A9711BF" w14:textId="77777777" w:rsidR="00675DD2" w:rsidRDefault="00675DD2" w:rsidP="00675DD2">
      <w:pPr>
        <w:tabs>
          <w:tab w:val="left" w:pos="360"/>
        </w:tabs>
        <w:snapToGrid w:val="0"/>
        <w:ind w:firstLine="360"/>
        <w:jc w:val="both"/>
        <w:rPr>
          <w:rFonts w:ascii="Times New Roman" w:hAnsi="Times New Roman" w:cs="Times New Roman"/>
        </w:rPr>
      </w:pPr>
    </w:p>
    <w:p w14:paraId="5F7CF07F" w14:textId="5731B49E" w:rsidR="00E116A2" w:rsidRPr="00D70242" w:rsidRDefault="00E116A2" w:rsidP="00E116A2">
      <w:pPr>
        <w:pStyle w:val="TableCaption"/>
        <w:rPr>
          <w:lang w:val="es-CO"/>
        </w:rPr>
      </w:pPr>
      <w:r w:rsidRPr="00D70242">
        <w:rPr>
          <w:lang w:val="es-CO"/>
        </w:rPr>
        <w:t>TABL</w:t>
      </w:r>
      <w:r w:rsidR="00CE7EF8">
        <w:rPr>
          <w:lang w:val="es-CO"/>
        </w:rPr>
        <w:t>E</w:t>
      </w:r>
      <w:r w:rsidRPr="00D70242">
        <w:rPr>
          <w:lang w:val="es-CO"/>
        </w:rPr>
        <w:t xml:space="preserve"> I.</w:t>
      </w:r>
    </w:p>
    <w:p w14:paraId="5723296D" w14:textId="247D1A4A" w:rsidR="00E116A2" w:rsidRPr="00675DD2" w:rsidRDefault="00675DD2" w:rsidP="00E116A2">
      <w:pPr>
        <w:pStyle w:val="TableCaption"/>
      </w:pPr>
      <w:r w:rsidRPr="00675DD2">
        <w:rPr>
          <w:lang w:val="en-AU"/>
        </w:rPr>
        <w:t>Distribution of students by academic load–performance profile and proportion of low academic performance in each group.</w:t>
      </w:r>
    </w:p>
    <w:tbl>
      <w:tblPr>
        <w:tblW w:w="5032"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96"/>
        <w:gridCol w:w="732"/>
        <w:gridCol w:w="1573"/>
        <w:gridCol w:w="1131"/>
      </w:tblGrid>
      <w:tr w:rsidR="00247577" w14:paraId="3AE83CEB" w14:textId="77777777" w:rsidTr="00247577">
        <w:trPr>
          <w:trHeight w:val="460"/>
        </w:trPr>
        <w:tc>
          <w:tcPr>
            <w:tcW w:w="1596" w:type="dxa"/>
            <w:vAlign w:val="center"/>
          </w:tcPr>
          <w:p w14:paraId="143ACDE4" w14:textId="77777777" w:rsidR="00247577" w:rsidRDefault="00247577" w:rsidP="00247577">
            <w:pPr>
              <w:pBdr>
                <w:top w:val="nil"/>
                <w:left w:val="nil"/>
                <w:bottom w:val="nil"/>
                <w:right w:val="nil"/>
                <w:between w:val="nil"/>
              </w:pBdr>
              <w:spacing w:before="110"/>
              <w:ind w:left="11"/>
              <w:jc w:val="center"/>
              <w:rPr>
                <w:color w:val="000000"/>
              </w:rPr>
            </w:pPr>
            <w:r>
              <w:t>Type</w:t>
            </w:r>
          </w:p>
        </w:tc>
        <w:tc>
          <w:tcPr>
            <w:tcW w:w="732" w:type="dxa"/>
            <w:vAlign w:val="center"/>
          </w:tcPr>
          <w:p w14:paraId="2EF96026" w14:textId="77777777" w:rsidR="00247577" w:rsidRDefault="00247577" w:rsidP="00247577">
            <w:pPr>
              <w:pBdr>
                <w:top w:val="nil"/>
                <w:left w:val="nil"/>
                <w:bottom w:val="nil"/>
                <w:right w:val="nil"/>
                <w:between w:val="nil"/>
              </w:pBdr>
              <w:spacing w:before="110"/>
              <w:ind w:left="12" w:right="3"/>
              <w:jc w:val="center"/>
              <w:rPr>
                <w:color w:val="000000"/>
              </w:rPr>
            </w:pPr>
            <w:r>
              <w:rPr>
                <w:color w:val="000000"/>
              </w:rPr>
              <w:t>Total</w:t>
            </w:r>
          </w:p>
        </w:tc>
        <w:tc>
          <w:tcPr>
            <w:tcW w:w="1573" w:type="dxa"/>
            <w:vAlign w:val="center"/>
          </w:tcPr>
          <w:p w14:paraId="2FEA4DC0" w14:textId="77777777" w:rsidR="00247577" w:rsidRDefault="00247577" w:rsidP="00247577">
            <w:pPr>
              <w:pBdr>
                <w:top w:val="nil"/>
                <w:left w:val="nil"/>
                <w:bottom w:val="nil"/>
                <w:right w:val="nil"/>
                <w:between w:val="nil"/>
              </w:pBdr>
              <w:spacing w:line="225" w:lineRule="auto"/>
              <w:ind w:left="13" w:right="7"/>
              <w:jc w:val="center"/>
              <w:rPr>
                <w:color w:val="000000"/>
              </w:rPr>
            </w:pPr>
            <w:r>
              <w:t>Low</w:t>
            </w:r>
          </w:p>
          <w:p w14:paraId="4AB57E37" w14:textId="77777777" w:rsidR="00247577" w:rsidRDefault="00247577" w:rsidP="00247577">
            <w:pPr>
              <w:pBdr>
                <w:top w:val="nil"/>
                <w:left w:val="nil"/>
                <w:bottom w:val="nil"/>
                <w:right w:val="nil"/>
                <w:between w:val="nil"/>
              </w:pBdr>
              <w:spacing w:line="215" w:lineRule="auto"/>
              <w:ind w:left="13" w:right="8"/>
              <w:jc w:val="center"/>
              <w:rPr>
                <w:color w:val="000000"/>
              </w:rPr>
            </w:pPr>
            <w:r>
              <w:t>Performance</w:t>
            </w:r>
          </w:p>
        </w:tc>
        <w:tc>
          <w:tcPr>
            <w:tcW w:w="1131" w:type="dxa"/>
            <w:vAlign w:val="center"/>
          </w:tcPr>
          <w:p w14:paraId="2FB7D80D" w14:textId="77777777" w:rsidR="00247577" w:rsidRDefault="00247577" w:rsidP="00247577">
            <w:pPr>
              <w:pBdr>
                <w:top w:val="nil"/>
                <w:left w:val="nil"/>
                <w:bottom w:val="nil"/>
                <w:right w:val="nil"/>
                <w:between w:val="nil"/>
              </w:pBdr>
              <w:spacing w:before="110"/>
              <w:ind w:left="8"/>
              <w:jc w:val="center"/>
              <w:rPr>
                <w:color w:val="000000"/>
              </w:rPr>
            </w:pPr>
            <w:r>
              <w:t>Proportion</w:t>
            </w:r>
          </w:p>
        </w:tc>
      </w:tr>
      <w:tr w:rsidR="00247577" w14:paraId="3824EFC0" w14:textId="77777777" w:rsidTr="00247577">
        <w:trPr>
          <w:trHeight w:val="299"/>
        </w:trPr>
        <w:tc>
          <w:tcPr>
            <w:tcW w:w="1596" w:type="dxa"/>
            <w:vAlign w:val="center"/>
          </w:tcPr>
          <w:p w14:paraId="7A75E72C" w14:textId="77777777" w:rsidR="00247577" w:rsidRDefault="00247577" w:rsidP="00247577">
            <w:pPr>
              <w:spacing w:line="225" w:lineRule="auto"/>
              <w:ind w:left="108"/>
              <w:jc w:val="center"/>
              <w:rPr>
                <w:color w:val="000000"/>
              </w:rPr>
            </w:pPr>
            <w:r>
              <w:t>Overload</w:t>
            </w:r>
          </w:p>
        </w:tc>
        <w:tc>
          <w:tcPr>
            <w:tcW w:w="732" w:type="dxa"/>
            <w:vAlign w:val="center"/>
          </w:tcPr>
          <w:p w14:paraId="18328117" w14:textId="77777777" w:rsidR="00247577" w:rsidRDefault="00247577" w:rsidP="00247577">
            <w:pPr>
              <w:pBdr>
                <w:top w:val="nil"/>
                <w:left w:val="nil"/>
                <w:bottom w:val="nil"/>
                <w:right w:val="nil"/>
                <w:between w:val="nil"/>
              </w:pBdr>
              <w:spacing w:line="225" w:lineRule="auto"/>
              <w:ind w:left="12"/>
              <w:jc w:val="center"/>
              <w:rPr>
                <w:color w:val="000000"/>
              </w:rPr>
            </w:pPr>
            <w:r>
              <w:rPr>
                <w:color w:val="000000"/>
              </w:rPr>
              <w:t>604</w:t>
            </w:r>
          </w:p>
        </w:tc>
        <w:tc>
          <w:tcPr>
            <w:tcW w:w="1573" w:type="dxa"/>
            <w:vAlign w:val="center"/>
          </w:tcPr>
          <w:p w14:paraId="648F1DCE" w14:textId="77777777" w:rsidR="00247577" w:rsidRDefault="00247577" w:rsidP="00247577">
            <w:pPr>
              <w:pBdr>
                <w:top w:val="nil"/>
                <w:left w:val="nil"/>
                <w:bottom w:val="nil"/>
                <w:right w:val="nil"/>
                <w:between w:val="nil"/>
              </w:pBdr>
              <w:spacing w:line="225" w:lineRule="auto"/>
              <w:ind w:left="13"/>
              <w:jc w:val="center"/>
              <w:rPr>
                <w:color w:val="000000"/>
              </w:rPr>
            </w:pPr>
            <w:r>
              <w:rPr>
                <w:color w:val="000000"/>
              </w:rPr>
              <w:t>62</w:t>
            </w:r>
          </w:p>
        </w:tc>
        <w:tc>
          <w:tcPr>
            <w:tcW w:w="1131" w:type="dxa"/>
            <w:vAlign w:val="center"/>
          </w:tcPr>
          <w:p w14:paraId="6177487E" w14:textId="6B730177" w:rsidR="00247577" w:rsidRDefault="00247577" w:rsidP="00247577">
            <w:pPr>
              <w:pBdr>
                <w:top w:val="nil"/>
                <w:left w:val="nil"/>
                <w:bottom w:val="nil"/>
                <w:right w:val="nil"/>
                <w:between w:val="nil"/>
              </w:pBdr>
              <w:spacing w:line="223" w:lineRule="auto"/>
              <w:ind w:left="8" w:right="2"/>
              <w:jc w:val="center"/>
              <w:rPr>
                <w:color w:val="000000"/>
              </w:rPr>
            </w:pPr>
            <w:r>
              <w:rPr>
                <w:color w:val="000000"/>
              </w:rPr>
              <w:t>44</w:t>
            </w:r>
            <w:r>
              <w:rPr>
                <w:color w:val="000000"/>
              </w:rPr>
              <w:t xml:space="preserve"> %</w:t>
            </w:r>
          </w:p>
        </w:tc>
      </w:tr>
      <w:tr w:rsidR="00247577" w14:paraId="3F5CBA16" w14:textId="77777777" w:rsidTr="00247577">
        <w:trPr>
          <w:trHeight w:val="299"/>
        </w:trPr>
        <w:tc>
          <w:tcPr>
            <w:tcW w:w="1596" w:type="dxa"/>
            <w:vAlign w:val="center"/>
          </w:tcPr>
          <w:p w14:paraId="7C0E7AC1" w14:textId="77777777" w:rsidR="00247577" w:rsidRDefault="00247577" w:rsidP="00247577">
            <w:pPr>
              <w:pBdr>
                <w:top w:val="nil"/>
                <w:left w:val="nil"/>
                <w:bottom w:val="nil"/>
                <w:right w:val="nil"/>
                <w:between w:val="nil"/>
              </w:pBdr>
              <w:spacing w:line="225" w:lineRule="auto"/>
              <w:ind w:left="108"/>
              <w:jc w:val="center"/>
              <w:rPr>
                <w:color w:val="000000"/>
              </w:rPr>
            </w:pPr>
            <w:r>
              <w:t>Improves with load</w:t>
            </w:r>
          </w:p>
        </w:tc>
        <w:tc>
          <w:tcPr>
            <w:tcW w:w="732" w:type="dxa"/>
            <w:vAlign w:val="center"/>
          </w:tcPr>
          <w:p w14:paraId="52882E6E" w14:textId="77777777" w:rsidR="00247577" w:rsidRDefault="00247577" w:rsidP="00247577">
            <w:pPr>
              <w:pBdr>
                <w:top w:val="nil"/>
                <w:left w:val="nil"/>
                <w:bottom w:val="nil"/>
                <w:right w:val="nil"/>
                <w:between w:val="nil"/>
              </w:pBdr>
              <w:spacing w:line="225" w:lineRule="auto"/>
              <w:ind w:left="12"/>
              <w:jc w:val="center"/>
              <w:rPr>
                <w:color w:val="000000"/>
              </w:rPr>
            </w:pPr>
            <w:r>
              <w:rPr>
                <w:color w:val="000000"/>
              </w:rPr>
              <w:t>465</w:t>
            </w:r>
          </w:p>
        </w:tc>
        <w:tc>
          <w:tcPr>
            <w:tcW w:w="1573" w:type="dxa"/>
            <w:vAlign w:val="center"/>
          </w:tcPr>
          <w:p w14:paraId="4D6A1697" w14:textId="77777777" w:rsidR="00247577" w:rsidRDefault="00247577" w:rsidP="00247577">
            <w:pPr>
              <w:pBdr>
                <w:top w:val="nil"/>
                <w:left w:val="nil"/>
                <w:bottom w:val="nil"/>
                <w:right w:val="nil"/>
                <w:between w:val="nil"/>
              </w:pBdr>
              <w:spacing w:line="225" w:lineRule="auto"/>
              <w:ind w:left="13"/>
              <w:jc w:val="center"/>
              <w:rPr>
                <w:color w:val="000000"/>
              </w:rPr>
            </w:pPr>
            <w:r>
              <w:rPr>
                <w:color w:val="000000"/>
              </w:rPr>
              <w:t>124</w:t>
            </w:r>
          </w:p>
        </w:tc>
        <w:tc>
          <w:tcPr>
            <w:tcW w:w="1131" w:type="dxa"/>
            <w:vAlign w:val="center"/>
          </w:tcPr>
          <w:p w14:paraId="79F17685" w14:textId="3C5A7FF3" w:rsidR="00247577" w:rsidRDefault="00247577" w:rsidP="00247577">
            <w:pPr>
              <w:pBdr>
                <w:top w:val="nil"/>
                <w:left w:val="nil"/>
                <w:bottom w:val="nil"/>
                <w:right w:val="nil"/>
                <w:between w:val="nil"/>
              </w:pBdr>
              <w:spacing w:line="225" w:lineRule="auto"/>
              <w:ind w:left="8" w:right="2"/>
              <w:jc w:val="center"/>
              <w:rPr>
                <w:color w:val="000000"/>
              </w:rPr>
            </w:pPr>
            <w:r>
              <w:rPr>
                <w:color w:val="000000"/>
              </w:rPr>
              <w:t>34</w:t>
            </w:r>
            <w:r>
              <w:rPr>
                <w:color w:val="000000"/>
              </w:rPr>
              <w:t xml:space="preserve"> %</w:t>
            </w:r>
          </w:p>
        </w:tc>
      </w:tr>
      <w:tr w:rsidR="00247577" w14:paraId="68398484" w14:textId="77777777" w:rsidTr="00247577">
        <w:trPr>
          <w:trHeight w:val="285"/>
        </w:trPr>
        <w:tc>
          <w:tcPr>
            <w:tcW w:w="1596" w:type="dxa"/>
            <w:vAlign w:val="center"/>
          </w:tcPr>
          <w:p w14:paraId="635BBBE0" w14:textId="410A3C20" w:rsidR="00247577" w:rsidRDefault="00247577" w:rsidP="00247577">
            <w:pPr>
              <w:pBdr>
                <w:top w:val="nil"/>
                <w:left w:val="nil"/>
                <w:bottom w:val="nil"/>
                <w:right w:val="nil"/>
                <w:between w:val="nil"/>
              </w:pBdr>
              <w:spacing w:line="225" w:lineRule="auto"/>
              <w:ind w:left="108"/>
              <w:jc w:val="center"/>
              <w:rPr>
                <w:color w:val="000000"/>
              </w:rPr>
            </w:pPr>
            <w:r>
              <w:t>Independent</w:t>
            </w:r>
          </w:p>
        </w:tc>
        <w:tc>
          <w:tcPr>
            <w:tcW w:w="732" w:type="dxa"/>
            <w:vAlign w:val="center"/>
          </w:tcPr>
          <w:p w14:paraId="51437111" w14:textId="77777777" w:rsidR="00247577" w:rsidRDefault="00247577" w:rsidP="00247577">
            <w:pPr>
              <w:pBdr>
                <w:top w:val="nil"/>
                <w:left w:val="nil"/>
                <w:bottom w:val="nil"/>
                <w:right w:val="nil"/>
                <w:between w:val="nil"/>
              </w:pBdr>
              <w:spacing w:line="225" w:lineRule="auto"/>
              <w:ind w:left="12"/>
              <w:jc w:val="center"/>
              <w:rPr>
                <w:color w:val="000000"/>
              </w:rPr>
            </w:pPr>
            <w:r>
              <w:rPr>
                <w:color w:val="000000"/>
              </w:rPr>
              <w:t>317</w:t>
            </w:r>
          </w:p>
        </w:tc>
        <w:tc>
          <w:tcPr>
            <w:tcW w:w="1573" w:type="dxa"/>
            <w:vAlign w:val="center"/>
          </w:tcPr>
          <w:p w14:paraId="23557A36" w14:textId="77777777" w:rsidR="00247577" w:rsidRDefault="00247577" w:rsidP="00247577">
            <w:pPr>
              <w:pBdr>
                <w:top w:val="nil"/>
                <w:left w:val="nil"/>
                <w:bottom w:val="nil"/>
                <w:right w:val="nil"/>
                <w:between w:val="nil"/>
              </w:pBdr>
              <w:spacing w:line="225" w:lineRule="auto"/>
              <w:ind w:left="13"/>
              <w:jc w:val="center"/>
              <w:rPr>
                <w:color w:val="000000"/>
              </w:rPr>
            </w:pPr>
            <w:r>
              <w:rPr>
                <w:color w:val="000000"/>
              </w:rPr>
              <w:t>118</w:t>
            </w:r>
          </w:p>
        </w:tc>
        <w:tc>
          <w:tcPr>
            <w:tcW w:w="1131" w:type="dxa"/>
            <w:vAlign w:val="center"/>
          </w:tcPr>
          <w:p w14:paraId="213E25B6" w14:textId="0750C7B6" w:rsidR="00247577" w:rsidRDefault="00247577" w:rsidP="00247577">
            <w:pPr>
              <w:pBdr>
                <w:top w:val="nil"/>
                <w:left w:val="nil"/>
                <w:bottom w:val="nil"/>
                <w:right w:val="nil"/>
                <w:between w:val="nil"/>
              </w:pBdr>
              <w:spacing w:line="225" w:lineRule="auto"/>
              <w:ind w:left="8" w:right="2"/>
              <w:jc w:val="center"/>
              <w:rPr>
                <w:color w:val="000000"/>
              </w:rPr>
            </w:pPr>
            <w:r>
              <w:rPr>
                <w:color w:val="000000"/>
              </w:rPr>
              <w:t>23</w:t>
            </w:r>
            <w:r>
              <w:rPr>
                <w:color w:val="000000"/>
              </w:rPr>
              <w:t xml:space="preserve"> %</w:t>
            </w:r>
          </w:p>
        </w:tc>
      </w:tr>
    </w:tbl>
    <w:p w14:paraId="3E895398" w14:textId="31C7F9A8" w:rsidR="00E116A2" w:rsidRDefault="00E116A2" w:rsidP="00E116A2">
      <w:pPr>
        <w:tabs>
          <w:tab w:val="left" w:pos="360"/>
        </w:tabs>
        <w:snapToGrid w:val="0"/>
        <w:jc w:val="both"/>
        <w:rPr>
          <w:rFonts w:ascii="Times New Roman" w:hAnsi="Times New Roman" w:cs="Times New Roman"/>
          <w:lang w:val="es-CO"/>
        </w:rPr>
      </w:pPr>
    </w:p>
    <w:p w14:paraId="4E0200EC" w14:textId="77777777" w:rsidR="006733A7" w:rsidRDefault="006733A7" w:rsidP="00D70242">
      <w:pPr>
        <w:tabs>
          <w:tab w:val="left" w:pos="360"/>
        </w:tabs>
        <w:snapToGrid w:val="0"/>
        <w:ind w:firstLine="360"/>
        <w:jc w:val="both"/>
        <w:rPr>
          <w:rFonts w:ascii="Times New Roman" w:hAnsi="Times New Roman" w:cs="Times New Roman"/>
          <w:lang w:val="es-CO"/>
        </w:rPr>
        <w:sectPr w:rsidR="006733A7" w:rsidSect="006733A7">
          <w:type w:val="continuous"/>
          <w:pgSz w:w="12240" w:h="15840" w:code="1"/>
          <w:pgMar w:top="1080" w:right="900" w:bottom="1890" w:left="900" w:header="720" w:footer="720" w:gutter="0"/>
          <w:cols w:num="2" w:space="360"/>
        </w:sectPr>
      </w:pPr>
    </w:p>
    <w:p w14:paraId="110FFD37" w14:textId="77777777" w:rsidR="00D70242" w:rsidRDefault="00D70242" w:rsidP="00D70242">
      <w:pPr>
        <w:tabs>
          <w:tab w:val="left" w:pos="360"/>
        </w:tabs>
        <w:snapToGrid w:val="0"/>
        <w:ind w:firstLine="360"/>
        <w:jc w:val="both"/>
        <w:rPr>
          <w:rFonts w:ascii="Times New Roman" w:hAnsi="Times New Roman" w:cs="Times New Roman"/>
          <w:lang w:val="es-CO"/>
        </w:rPr>
      </w:pPr>
    </w:p>
    <w:p w14:paraId="6B699379" w14:textId="35CF7D6A" w:rsidR="00D70242" w:rsidRPr="006733A7" w:rsidRDefault="00592AB4" w:rsidP="006733A7">
      <w:pPr>
        <w:jc w:val="center"/>
        <w:rPr>
          <w:i/>
          <w:iCs/>
          <w:sz w:val="16"/>
          <w:szCs w:val="16"/>
          <w:lang w:val="es-CO"/>
        </w:rPr>
      </w:pPr>
      <w:r w:rsidRPr="00206033">
        <w:rPr>
          <w:i/>
          <w:iCs/>
          <w:sz w:val="16"/>
          <w:szCs w:val="16"/>
          <w:lang w:val="es-CO"/>
        </w:rPr>
        <w:drawing>
          <wp:inline distT="0" distB="0" distL="0" distR="0" wp14:anchorId="740B2A5D" wp14:editId="183BE698">
            <wp:extent cx="5272422" cy="3352800"/>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9681" cy="3357416"/>
                    </a:xfrm>
                    <a:prstGeom prst="rect">
                      <a:avLst/>
                    </a:prstGeom>
                    <a:noFill/>
                    <a:ln>
                      <a:noFill/>
                    </a:ln>
                  </pic:spPr>
                </pic:pic>
              </a:graphicData>
            </a:graphic>
          </wp:inline>
        </w:drawing>
      </w:r>
    </w:p>
    <w:p w14:paraId="19F171B2" w14:textId="27DACCC2" w:rsidR="00D70242" w:rsidRPr="00427441" w:rsidRDefault="00D70242" w:rsidP="00D70242">
      <w:pPr>
        <w:tabs>
          <w:tab w:val="left" w:pos="360"/>
        </w:tabs>
        <w:snapToGrid w:val="0"/>
        <w:spacing w:before="40"/>
        <w:ind w:firstLine="360"/>
        <w:jc w:val="center"/>
        <w:rPr>
          <w:rFonts w:ascii="Times New Roman" w:hAnsi="Times New Roman" w:cs="Times New Roman"/>
          <w:sz w:val="16"/>
          <w:szCs w:val="16"/>
          <w:lang w:val="en-US"/>
        </w:rPr>
      </w:pPr>
      <w:r w:rsidRPr="00427441">
        <w:rPr>
          <w:rFonts w:ascii="Times New Roman" w:hAnsi="Times New Roman" w:cs="Times New Roman"/>
          <w:sz w:val="16"/>
          <w:szCs w:val="16"/>
          <w:lang w:val="en-US"/>
        </w:rPr>
        <w:t xml:space="preserve">Fig 2. </w:t>
      </w:r>
      <w:r w:rsidR="00427441" w:rsidRPr="00427441">
        <w:rPr>
          <w:rFonts w:ascii="Times New Roman" w:hAnsi="Times New Roman" w:cs="Times New Roman"/>
          <w:sz w:val="16"/>
          <w:szCs w:val="16"/>
        </w:rPr>
        <w:t>Estimated relationship between the cumulative course pass rate and the probability of student persistence.</w:t>
      </w:r>
    </w:p>
    <w:p w14:paraId="3FE9F23F" w14:textId="77777777" w:rsidR="00D70242" w:rsidRPr="00427441" w:rsidRDefault="00D70242" w:rsidP="00D70242">
      <w:pPr>
        <w:tabs>
          <w:tab w:val="left" w:pos="360"/>
        </w:tabs>
        <w:snapToGrid w:val="0"/>
        <w:ind w:firstLine="360"/>
        <w:jc w:val="both"/>
        <w:rPr>
          <w:rFonts w:ascii="Times New Roman" w:hAnsi="Times New Roman" w:cs="Times New Roman"/>
          <w:b/>
          <w:bCs/>
          <w:lang w:val="en-US"/>
        </w:rPr>
      </w:pPr>
    </w:p>
    <w:p w14:paraId="08CE6F91" w14:textId="77777777" w:rsidR="00D70242" w:rsidRPr="00427441" w:rsidRDefault="00D70242" w:rsidP="00D70242">
      <w:pPr>
        <w:tabs>
          <w:tab w:val="left" w:pos="360"/>
        </w:tabs>
        <w:snapToGrid w:val="0"/>
        <w:ind w:firstLine="360"/>
        <w:jc w:val="both"/>
        <w:rPr>
          <w:rFonts w:ascii="Times New Roman" w:hAnsi="Times New Roman" w:cs="Times New Roman"/>
          <w:lang w:val="en-US"/>
        </w:rPr>
      </w:pPr>
    </w:p>
    <w:p w14:paraId="3D0B7D22" w14:textId="4E922C50" w:rsidR="006733A7" w:rsidRPr="006733A7" w:rsidRDefault="00592AB4" w:rsidP="006733A7">
      <w:pPr>
        <w:tabs>
          <w:tab w:val="left" w:pos="360"/>
        </w:tabs>
        <w:snapToGrid w:val="0"/>
        <w:ind w:firstLine="360"/>
        <w:jc w:val="center"/>
        <w:rPr>
          <w:rFonts w:ascii="Times New Roman" w:hAnsi="Times New Roman" w:cs="Times New Roman"/>
          <w:lang w:val="es-CO"/>
        </w:rPr>
      </w:pPr>
      <w:r w:rsidRPr="00206033">
        <w:rPr>
          <w:rFonts w:ascii="Times New Roman" w:hAnsi="Times New Roman" w:cs="Times New Roman"/>
          <w:lang w:val="es-CO"/>
        </w:rPr>
        <w:lastRenderedPageBreak/>
        <w:drawing>
          <wp:inline distT="0" distB="0" distL="0" distR="0" wp14:anchorId="58BAC8EF" wp14:editId="616ED8ED">
            <wp:extent cx="4925219" cy="3295947"/>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7547" cy="3324273"/>
                    </a:xfrm>
                    <a:prstGeom prst="rect">
                      <a:avLst/>
                    </a:prstGeom>
                    <a:noFill/>
                    <a:ln>
                      <a:noFill/>
                    </a:ln>
                  </pic:spPr>
                </pic:pic>
              </a:graphicData>
            </a:graphic>
          </wp:inline>
        </w:drawing>
      </w:r>
    </w:p>
    <w:p w14:paraId="49AE4D39" w14:textId="664FE946" w:rsidR="00D70242" w:rsidRPr="00427441" w:rsidRDefault="00D70242" w:rsidP="00D70242">
      <w:pPr>
        <w:tabs>
          <w:tab w:val="left" w:pos="360"/>
        </w:tabs>
        <w:snapToGrid w:val="0"/>
        <w:spacing w:before="40"/>
        <w:jc w:val="center"/>
        <w:rPr>
          <w:rFonts w:ascii="Times New Roman" w:hAnsi="Times New Roman" w:cs="Times New Roman"/>
          <w:sz w:val="16"/>
          <w:szCs w:val="16"/>
          <w:lang w:val="en-US"/>
        </w:rPr>
      </w:pPr>
      <w:r w:rsidRPr="000C1565">
        <w:rPr>
          <w:rFonts w:ascii="Times New Roman" w:hAnsi="Times New Roman" w:cs="Times New Roman"/>
          <w:sz w:val="16"/>
          <w:szCs w:val="16"/>
          <w:lang w:val="es-ES"/>
        </w:rPr>
        <w:t xml:space="preserve">Fig 3. </w:t>
      </w:r>
      <w:r w:rsidR="00427441" w:rsidRPr="00427441">
        <w:rPr>
          <w:rFonts w:ascii="Times New Roman" w:hAnsi="Times New Roman" w:cs="Times New Roman"/>
          <w:sz w:val="16"/>
          <w:szCs w:val="16"/>
        </w:rPr>
        <w:t>Distribution of students according to the type of relationship between academic load and academic performance, determined based on the correlation between the number of courses enrolled and the semester pass rate.</w:t>
      </w:r>
    </w:p>
    <w:p w14:paraId="1D4A510C" w14:textId="77777777" w:rsidR="00DA6B2F" w:rsidRPr="00427441" w:rsidRDefault="00DA6B2F" w:rsidP="00DA6B2F">
      <w:pPr>
        <w:tabs>
          <w:tab w:val="left" w:pos="360"/>
        </w:tabs>
        <w:snapToGrid w:val="0"/>
        <w:spacing w:before="40"/>
        <w:rPr>
          <w:rFonts w:ascii="Times New Roman" w:hAnsi="Times New Roman" w:cs="Times New Roman"/>
          <w:sz w:val="16"/>
          <w:szCs w:val="16"/>
          <w:lang w:val="en-US"/>
        </w:rPr>
      </w:pPr>
    </w:p>
    <w:p w14:paraId="108870F6" w14:textId="77777777" w:rsidR="00DA6B2F" w:rsidRPr="00427441" w:rsidRDefault="00DA6B2F" w:rsidP="00D70242">
      <w:pPr>
        <w:tabs>
          <w:tab w:val="left" w:pos="360"/>
        </w:tabs>
        <w:snapToGrid w:val="0"/>
        <w:spacing w:before="40"/>
        <w:ind w:firstLine="360"/>
        <w:jc w:val="center"/>
        <w:rPr>
          <w:rFonts w:ascii="Times New Roman" w:hAnsi="Times New Roman" w:cs="Times New Roman"/>
          <w:sz w:val="16"/>
          <w:szCs w:val="16"/>
          <w:lang w:val="en-US"/>
        </w:rPr>
        <w:sectPr w:rsidR="00DA6B2F" w:rsidRPr="00427441" w:rsidSect="006733A7">
          <w:type w:val="continuous"/>
          <w:pgSz w:w="12240" w:h="15840" w:code="1"/>
          <w:pgMar w:top="1080" w:right="900" w:bottom="1890" w:left="900" w:header="720" w:footer="720" w:gutter="0"/>
          <w:cols w:space="360"/>
        </w:sectPr>
      </w:pPr>
    </w:p>
    <w:p w14:paraId="2391AF04" w14:textId="1A11F8A7" w:rsidR="00675DD2" w:rsidRDefault="00675DD2" w:rsidP="00675DD2">
      <w:pPr>
        <w:pBdr>
          <w:top w:val="nil"/>
          <w:left w:val="nil"/>
          <w:bottom w:val="nil"/>
          <w:right w:val="nil"/>
          <w:between w:val="nil"/>
        </w:pBdr>
        <w:ind w:left="180" w:right="42" w:firstLine="360"/>
        <w:jc w:val="both"/>
      </w:pPr>
      <w:r>
        <w:t>When these profiles are contrasted with overall performance levels (Table I), a particularly relevant result emerges. Although the overload group exhibits strong negative correlations</w:t>
      </w:r>
      <w:r w:rsidR="00CE7EF8">
        <w:t xml:space="preserve"> </w:t>
      </w:r>
      <w:r>
        <w:t>indicating greater sensitivity of performance to increases in course load—this same group paradoxically concentrates a lower proportion of students with low overall performance.</w:t>
      </w:r>
    </w:p>
    <w:p w14:paraId="76B14A4F" w14:textId="77777777" w:rsidR="00675DD2" w:rsidRDefault="00675DD2" w:rsidP="00675DD2">
      <w:pPr>
        <w:pBdr>
          <w:top w:val="nil"/>
          <w:left w:val="nil"/>
          <w:bottom w:val="nil"/>
          <w:right w:val="nil"/>
          <w:between w:val="nil"/>
        </w:pBdr>
        <w:ind w:left="180" w:right="42" w:firstLine="360"/>
        <w:jc w:val="both"/>
      </w:pPr>
      <w:r>
        <w:t>This finding suggests that sensitivity to academic load does not necessarily reflect academic fragility. Instead, it may be associated with high-performance trajectories, in which even moderate variations in course load produce detectable changes in approval rates. In fact, higher-performing students appear to respond in a more structured and predictable manner to changes in their academic load, consistent with prior evidence linking higher approval rates to a greater probability of institutional persistence.</w:t>
      </w:r>
    </w:p>
    <w:p w14:paraId="6C0AFC0B" w14:textId="77777777" w:rsidR="00675DD2" w:rsidRDefault="00675DD2" w:rsidP="00675DD2">
      <w:pPr>
        <w:pBdr>
          <w:top w:val="nil"/>
          <w:left w:val="nil"/>
          <w:bottom w:val="nil"/>
          <w:right w:val="nil"/>
          <w:between w:val="nil"/>
        </w:pBdr>
        <w:ind w:left="180" w:right="42" w:firstLine="360"/>
        <w:jc w:val="both"/>
      </w:pPr>
      <w:r>
        <w:t>These results open a line of future research aimed at better understanding the mechanisms underlying this academic sensitivity. In particular, it would be relevant to explore whether factors such as self-regulation, semester planning, or strategic course selection help explain why higher-performing students also exhibit a stronger relationship between academic load and performance.</w:t>
      </w:r>
    </w:p>
    <w:p w14:paraId="39046073" w14:textId="77777777" w:rsidR="00DA6B2F" w:rsidRPr="00675DD2" w:rsidRDefault="00DA6B2F" w:rsidP="00D70242">
      <w:pPr>
        <w:tabs>
          <w:tab w:val="left" w:pos="360"/>
        </w:tabs>
        <w:snapToGrid w:val="0"/>
        <w:ind w:firstLine="360"/>
        <w:jc w:val="both"/>
        <w:rPr>
          <w:rFonts w:ascii="Times New Roman" w:hAnsi="Times New Roman" w:cs="Times New Roman"/>
        </w:rPr>
      </w:pPr>
    </w:p>
    <w:p w14:paraId="026E2A67" w14:textId="5F0E1F7E" w:rsidR="00D70242" w:rsidRPr="00675DD2" w:rsidRDefault="00D70242" w:rsidP="00D70242">
      <w:pPr>
        <w:tabs>
          <w:tab w:val="left" w:pos="360"/>
        </w:tabs>
        <w:snapToGrid w:val="0"/>
        <w:spacing w:before="120" w:after="120"/>
        <w:jc w:val="center"/>
        <w:rPr>
          <w:rFonts w:ascii="Times New Roman" w:hAnsi="Times New Roman" w:cs="Times New Roman"/>
          <w:smallCaps/>
          <w:lang w:val="en-US"/>
        </w:rPr>
      </w:pPr>
      <w:r w:rsidRPr="00675DD2">
        <w:rPr>
          <w:rFonts w:ascii="Times New Roman" w:hAnsi="Times New Roman" w:cs="Times New Roman"/>
          <w:smallCaps/>
          <w:lang w:val="en-US"/>
        </w:rPr>
        <w:t>IV. CONCLUSION</w:t>
      </w:r>
      <w:r w:rsidR="004E47E2">
        <w:rPr>
          <w:rFonts w:ascii="Times New Roman" w:hAnsi="Times New Roman" w:cs="Times New Roman"/>
          <w:smallCaps/>
          <w:lang w:val="en-US"/>
        </w:rPr>
        <w:t>S</w:t>
      </w:r>
    </w:p>
    <w:p w14:paraId="41B87F1D" w14:textId="77777777" w:rsidR="00675DD2" w:rsidRPr="002822FE" w:rsidRDefault="00675DD2" w:rsidP="00675DD2">
      <w:pPr>
        <w:tabs>
          <w:tab w:val="left" w:pos="360"/>
        </w:tabs>
        <w:snapToGrid w:val="0"/>
        <w:ind w:firstLine="360"/>
        <w:jc w:val="both"/>
        <w:rPr>
          <w:lang w:val="en-US"/>
        </w:rPr>
      </w:pPr>
      <w:r w:rsidRPr="002822FE">
        <w:rPr>
          <w:lang w:val="en-US"/>
        </w:rPr>
        <w:t xml:space="preserve">This study analyzed the relationship between academic performance, academic load, and student persistence through the construction of longitudinal academic trajectories based on institutional records. The findings demonstrate that the </w:t>
      </w:r>
      <w:r w:rsidRPr="002822FE">
        <w:rPr>
          <w:lang w:val="en-US"/>
        </w:rPr>
        <w:t>cumulative course pass rate constitutes a robust and highly informative indicator for explaining student persistence in foundational courses.</w:t>
      </w:r>
    </w:p>
    <w:p w14:paraId="5DF15B5E" w14:textId="5308911E" w:rsidR="00675DD2" w:rsidRPr="002822FE" w:rsidRDefault="00675DD2" w:rsidP="00675DD2">
      <w:pPr>
        <w:tabs>
          <w:tab w:val="left" w:pos="360"/>
        </w:tabs>
        <w:snapToGrid w:val="0"/>
        <w:ind w:firstLine="360"/>
        <w:jc w:val="both"/>
        <w:rPr>
          <w:lang w:val="en-US"/>
        </w:rPr>
      </w:pPr>
      <w:r w:rsidRPr="002822FE">
        <w:rPr>
          <w:lang w:val="en-US"/>
        </w:rPr>
        <w:t>The logistic regression model confirmed the strong association between sustained academic performance and the probability of continued enrollment. Additionally, the classification of differentiated load</w:t>
      </w:r>
      <w:r w:rsidR="005963E5">
        <w:rPr>
          <w:lang w:val="en-US"/>
        </w:rPr>
        <w:t xml:space="preserve"> </w:t>
      </w:r>
      <w:r w:rsidRPr="002822FE">
        <w:rPr>
          <w:lang w:val="en-US"/>
        </w:rPr>
        <w:t>performance response profiles revealed substantial heterogeneity across students and showed that negative load sensitivity does not necessarily imply low academic performance.</w:t>
      </w:r>
    </w:p>
    <w:p w14:paraId="0F4B0B34" w14:textId="77777777" w:rsidR="00675DD2" w:rsidRPr="002822FE" w:rsidRDefault="00675DD2" w:rsidP="00675DD2">
      <w:pPr>
        <w:tabs>
          <w:tab w:val="left" w:pos="360"/>
        </w:tabs>
        <w:snapToGrid w:val="0"/>
        <w:ind w:firstLine="360"/>
        <w:jc w:val="both"/>
        <w:rPr>
          <w:lang w:val="en-US"/>
        </w:rPr>
      </w:pPr>
      <w:r w:rsidRPr="002822FE">
        <w:rPr>
          <w:lang w:val="en-US"/>
        </w:rPr>
        <w:t>These findings underscore the importance of adopting longitudinal and individualized analytical approaches that move beyond aggregated perspectives. From an institutional standpoint, cumulative performance indicators and load-response profiles may serve as valuable inputs for academic advising, enrollment planning, and early warning systems.</w:t>
      </w:r>
    </w:p>
    <w:p w14:paraId="4CF98C80" w14:textId="77777777" w:rsidR="00675DD2" w:rsidRPr="002822FE" w:rsidRDefault="00675DD2" w:rsidP="00675DD2">
      <w:pPr>
        <w:tabs>
          <w:tab w:val="left" w:pos="360"/>
        </w:tabs>
        <w:snapToGrid w:val="0"/>
        <w:ind w:firstLine="360"/>
        <w:jc w:val="both"/>
        <w:rPr>
          <w:lang w:val="en-US"/>
        </w:rPr>
      </w:pPr>
      <w:r w:rsidRPr="002822FE">
        <w:rPr>
          <w:lang w:val="en-US"/>
        </w:rPr>
        <w:t>Future research should incorporate additional sociodemographic and academic variables and extend the analysis to other programs and cohorts to strengthen generalizability and advance toward more comprehensive predictive models of student persistence.</w:t>
      </w:r>
    </w:p>
    <w:p w14:paraId="5043CB0F" w14:textId="77777777" w:rsidR="00D70242" w:rsidRPr="00675DD2" w:rsidRDefault="00D70242" w:rsidP="00D70242">
      <w:pPr>
        <w:tabs>
          <w:tab w:val="left" w:pos="360"/>
        </w:tabs>
        <w:snapToGrid w:val="0"/>
        <w:ind w:firstLine="360"/>
        <w:jc w:val="both"/>
        <w:rPr>
          <w:rFonts w:ascii="Times New Roman" w:hAnsi="Times New Roman" w:cs="Times New Roman"/>
          <w:lang w:val="en-US"/>
        </w:rPr>
      </w:pPr>
    </w:p>
    <w:p w14:paraId="12FD6C98" w14:textId="704CA41D" w:rsidR="7D190DE2" w:rsidRPr="00675DD2" w:rsidRDefault="7D190DE2" w:rsidP="7D190DE2">
      <w:pPr>
        <w:tabs>
          <w:tab w:val="left" w:pos="360"/>
        </w:tabs>
        <w:ind w:firstLine="360"/>
        <w:jc w:val="both"/>
        <w:rPr>
          <w:rFonts w:ascii="Times New Roman" w:hAnsi="Times New Roman" w:cs="Times New Roman"/>
          <w:lang w:val="en-US"/>
        </w:rPr>
      </w:pPr>
    </w:p>
    <w:p w14:paraId="4E1F9A16" w14:textId="45CB61FE" w:rsidR="00D70242" w:rsidRPr="00085C72" w:rsidRDefault="00D70242" w:rsidP="00D70242">
      <w:pPr>
        <w:tabs>
          <w:tab w:val="left" w:pos="360"/>
        </w:tabs>
        <w:snapToGrid w:val="0"/>
        <w:spacing w:before="120" w:after="80"/>
        <w:jc w:val="center"/>
        <w:rPr>
          <w:rFonts w:ascii="Times New Roman" w:hAnsi="Times New Roman" w:cs="Times New Roman"/>
          <w:smallCaps/>
          <w:lang w:val="en-US"/>
        </w:rPr>
      </w:pPr>
      <w:r w:rsidRPr="00085C72">
        <w:rPr>
          <w:rFonts w:ascii="Times New Roman" w:hAnsi="Times New Roman" w:cs="Times New Roman"/>
          <w:smallCaps/>
          <w:lang w:val="en-US"/>
        </w:rPr>
        <w:t>Refe</w:t>
      </w:r>
      <w:r w:rsidR="00085C72">
        <w:rPr>
          <w:rFonts w:ascii="Times New Roman" w:hAnsi="Times New Roman" w:cs="Times New Roman"/>
          <w:smallCaps/>
          <w:lang w:val="en-US"/>
        </w:rPr>
        <w:t>rences</w:t>
      </w:r>
    </w:p>
    <w:p w14:paraId="07459315" w14:textId="77777777" w:rsidR="00D70242" w:rsidRPr="00D70242" w:rsidRDefault="00D70242" w:rsidP="00D70242">
      <w:pPr>
        <w:pStyle w:val="Referenceentry"/>
        <w:numPr>
          <w:ilvl w:val="0"/>
          <w:numId w:val="0"/>
        </w:numPr>
        <w:ind w:left="284" w:hanging="284"/>
        <w:rPr>
          <w:lang w:val="es-CO"/>
        </w:rPr>
      </w:pPr>
    </w:p>
    <w:p w14:paraId="14AA8929" w14:textId="77777777" w:rsidR="00D70242" w:rsidRPr="00E972D0" w:rsidRDefault="00D70242" w:rsidP="00D70242">
      <w:pPr>
        <w:ind w:left="284" w:hanging="284"/>
        <w:jc w:val="both"/>
        <w:rPr>
          <w:rFonts w:ascii="Times New Roman" w:eastAsia="Times New Roman" w:hAnsi="Times New Roman" w:cs="Times New Roman"/>
          <w:color w:val="000000"/>
          <w:sz w:val="16"/>
          <w:szCs w:val="24"/>
          <w:lang w:val="es-CO"/>
        </w:rPr>
      </w:pPr>
      <w:r w:rsidRPr="00E972D0">
        <w:rPr>
          <w:rFonts w:ascii="Times New Roman" w:eastAsia="Times New Roman" w:hAnsi="Times New Roman" w:cs="Times New Roman"/>
          <w:color w:val="000000"/>
          <w:sz w:val="16"/>
          <w:lang w:val="es-CO"/>
        </w:rPr>
        <w:t>[1]</w:t>
      </w:r>
      <w:r w:rsidRPr="00E972D0">
        <w:rPr>
          <w:rFonts w:ascii="Times New Roman" w:eastAsia="Times New Roman" w:hAnsi="Times New Roman" w:cs="Times New Roman"/>
          <w:color w:val="000000"/>
          <w:sz w:val="16"/>
          <w:lang w:val="es-CO"/>
        </w:rPr>
        <w:tab/>
        <w:t xml:space="preserve">N. </w:t>
      </w:r>
      <w:proofErr w:type="spellStart"/>
      <w:r w:rsidRPr="00E972D0">
        <w:rPr>
          <w:rFonts w:ascii="Times New Roman" w:eastAsia="Times New Roman" w:hAnsi="Times New Roman" w:cs="Times New Roman"/>
          <w:color w:val="000000"/>
          <w:sz w:val="16"/>
          <w:lang w:val="es-CO"/>
        </w:rPr>
        <w:t>Chiarino</w:t>
      </w:r>
      <w:proofErr w:type="spellEnd"/>
      <w:r w:rsidRPr="00E972D0">
        <w:rPr>
          <w:rFonts w:ascii="Times New Roman" w:eastAsia="Times New Roman" w:hAnsi="Times New Roman" w:cs="Times New Roman"/>
          <w:color w:val="000000"/>
          <w:sz w:val="16"/>
          <w:lang w:val="es-CO"/>
        </w:rPr>
        <w:t xml:space="preserve"> </w:t>
      </w:r>
      <w:r w:rsidRPr="00E972D0">
        <w:rPr>
          <w:rFonts w:ascii="Times New Roman" w:eastAsia="Times New Roman" w:hAnsi="Times New Roman" w:cs="Times New Roman"/>
          <w:i/>
          <w:iCs/>
          <w:color w:val="000000"/>
          <w:sz w:val="16"/>
          <w:lang w:val="es-CO"/>
        </w:rPr>
        <w:t>et al.</w:t>
      </w:r>
      <w:r w:rsidRPr="00E972D0">
        <w:rPr>
          <w:rFonts w:ascii="Times New Roman" w:eastAsia="Times New Roman" w:hAnsi="Times New Roman" w:cs="Times New Roman"/>
          <w:color w:val="000000"/>
          <w:sz w:val="16"/>
          <w:lang w:val="es-CO"/>
        </w:rPr>
        <w:t xml:space="preserve">, “Abandono y permanencia estudiantil en universidades de Latinoamérica y el Caribe: Una revisión sistemática mixta,” </w:t>
      </w:r>
      <w:r w:rsidRPr="00E972D0">
        <w:rPr>
          <w:rFonts w:ascii="Times New Roman" w:eastAsia="Times New Roman" w:hAnsi="Times New Roman" w:cs="Times New Roman"/>
          <w:i/>
          <w:iCs/>
          <w:color w:val="000000"/>
          <w:sz w:val="16"/>
          <w:lang w:val="es-CO"/>
        </w:rPr>
        <w:t>Actualidades Investigativas en Educación</w:t>
      </w:r>
      <w:r w:rsidRPr="00E972D0">
        <w:rPr>
          <w:rFonts w:ascii="Times New Roman" w:eastAsia="Times New Roman" w:hAnsi="Times New Roman" w:cs="Times New Roman"/>
          <w:color w:val="000000"/>
          <w:sz w:val="16"/>
          <w:lang w:val="es-CO"/>
        </w:rPr>
        <w:t xml:space="preserve">, vol. 24, no. 2, pp. 1–37, May 2024, </w:t>
      </w:r>
      <w:proofErr w:type="spellStart"/>
      <w:r w:rsidRPr="00E972D0">
        <w:rPr>
          <w:rFonts w:ascii="Times New Roman" w:eastAsia="Times New Roman" w:hAnsi="Times New Roman" w:cs="Times New Roman"/>
          <w:color w:val="000000"/>
          <w:sz w:val="16"/>
          <w:lang w:val="es-CO"/>
        </w:rPr>
        <w:t>doi</w:t>
      </w:r>
      <w:proofErr w:type="spellEnd"/>
      <w:r w:rsidRPr="00E972D0">
        <w:rPr>
          <w:rFonts w:ascii="Times New Roman" w:eastAsia="Times New Roman" w:hAnsi="Times New Roman" w:cs="Times New Roman"/>
          <w:color w:val="000000"/>
          <w:sz w:val="16"/>
          <w:lang w:val="es-CO"/>
        </w:rPr>
        <w:t>: 10.15517/aie.v24i2.57306.</w:t>
      </w:r>
    </w:p>
    <w:p w14:paraId="129D81FD" w14:textId="77777777" w:rsidR="00D70242" w:rsidRPr="00E972D0" w:rsidRDefault="00D70242" w:rsidP="00D70242">
      <w:pPr>
        <w:ind w:left="284" w:hanging="284"/>
        <w:jc w:val="both"/>
        <w:rPr>
          <w:rFonts w:ascii="Times New Roman" w:eastAsia="Times New Roman" w:hAnsi="Times New Roman" w:cs="Times New Roman"/>
          <w:color w:val="000000"/>
          <w:sz w:val="16"/>
          <w:lang w:val="es-CO"/>
        </w:rPr>
      </w:pPr>
      <w:r w:rsidRPr="00E972D0">
        <w:rPr>
          <w:rFonts w:ascii="Times New Roman" w:eastAsia="Times New Roman" w:hAnsi="Times New Roman" w:cs="Times New Roman"/>
          <w:color w:val="000000"/>
          <w:sz w:val="16"/>
          <w:lang w:val="es-CO"/>
        </w:rPr>
        <w:t>[2]</w:t>
      </w:r>
      <w:r w:rsidRPr="00E972D0">
        <w:rPr>
          <w:rFonts w:ascii="Times New Roman" w:eastAsia="Times New Roman" w:hAnsi="Times New Roman" w:cs="Times New Roman"/>
          <w:color w:val="000000"/>
          <w:sz w:val="16"/>
          <w:lang w:val="es-CO"/>
        </w:rPr>
        <w:tab/>
        <w:t xml:space="preserve">M. Castillo-Sánchez, R. Gamboa-Araya, and R. Hidalgo-Mora, “Factores que influyen en la deserción y reprobación de estudiantes de un curso </w:t>
      </w:r>
      <w:r w:rsidRPr="00E972D0">
        <w:rPr>
          <w:rFonts w:ascii="Times New Roman" w:eastAsia="Times New Roman" w:hAnsi="Times New Roman" w:cs="Times New Roman"/>
          <w:color w:val="000000"/>
          <w:sz w:val="16"/>
          <w:lang w:val="es-CO"/>
        </w:rPr>
        <w:lastRenderedPageBreak/>
        <w:t xml:space="preserve">universitario de matemáticas,” </w:t>
      </w:r>
      <w:proofErr w:type="spellStart"/>
      <w:r w:rsidRPr="00E972D0">
        <w:rPr>
          <w:rFonts w:ascii="Times New Roman" w:eastAsia="Times New Roman" w:hAnsi="Times New Roman" w:cs="Times New Roman"/>
          <w:i/>
          <w:iCs/>
          <w:color w:val="000000"/>
          <w:sz w:val="16"/>
          <w:lang w:val="es-CO"/>
        </w:rPr>
        <w:t>Uniciencia</w:t>
      </w:r>
      <w:proofErr w:type="spellEnd"/>
      <w:r w:rsidRPr="00E972D0">
        <w:rPr>
          <w:rFonts w:ascii="Times New Roman" w:eastAsia="Times New Roman" w:hAnsi="Times New Roman" w:cs="Times New Roman"/>
          <w:color w:val="000000"/>
          <w:sz w:val="16"/>
          <w:lang w:val="es-CO"/>
        </w:rPr>
        <w:t xml:space="preserve">, vol. 34, no. 1, pp. 219–245, Jan. 2020, </w:t>
      </w:r>
      <w:proofErr w:type="spellStart"/>
      <w:r w:rsidRPr="00E972D0">
        <w:rPr>
          <w:rFonts w:ascii="Times New Roman" w:eastAsia="Times New Roman" w:hAnsi="Times New Roman" w:cs="Times New Roman"/>
          <w:color w:val="000000"/>
          <w:sz w:val="16"/>
          <w:lang w:val="es-CO"/>
        </w:rPr>
        <w:t>doi</w:t>
      </w:r>
      <w:proofErr w:type="spellEnd"/>
      <w:r w:rsidRPr="00E972D0">
        <w:rPr>
          <w:rFonts w:ascii="Times New Roman" w:eastAsia="Times New Roman" w:hAnsi="Times New Roman" w:cs="Times New Roman"/>
          <w:color w:val="000000"/>
          <w:sz w:val="16"/>
          <w:lang w:val="es-CO"/>
        </w:rPr>
        <w:t>: 10.15359/ru.34-1.13.</w:t>
      </w:r>
    </w:p>
    <w:p w14:paraId="3AC7B172" w14:textId="77777777" w:rsidR="00D70242" w:rsidRPr="00E972D0" w:rsidRDefault="00D70242" w:rsidP="00D70242">
      <w:pPr>
        <w:ind w:left="284" w:hanging="284"/>
        <w:jc w:val="both"/>
        <w:rPr>
          <w:rFonts w:ascii="Times New Roman" w:eastAsia="Times New Roman" w:hAnsi="Times New Roman" w:cs="Times New Roman"/>
          <w:color w:val="000000"/>
          <w:sz w:val="16"/>
        </w:rPr>
      </w:pPr>
      <w:r w:rsidRPr="00E972D0">
        <w:rPr>
          <w:rFonts w:ascii="Times New Roman" w:eastAsia="Times New Roman" w:hAnsi="Times New Roman" w:cs="Times New Roman"/>
          <w:color w:val="000000"/>
          <w:sz w:val="16"/>
        </w:rPr>
        <w:t>[3]</w:t>
      </w:r>
      <w:r w:rsidRPr="00E972D0">
        <w:rPr>
          <w:rFonts w:ascii="Times New Roman" w:eastAsia="Times New Roman" w:hAnsi="Times New Roman" w:cs="Times New Roman"/>
          <w:color w:val="000000"/>
          <w:sz w:val="16"/>
        </w:rPr>
        <w:tab/>
        <w:t xml:space="preserve">L. Addison and D. Williams, “Predicting student retention in higher education institutions (HEIs),” </w:t>
      </w:r>
      <w:r w:rsidRPr="00E972D0">
        <w:rPr>
          <w:rFonts w:ascii="Times New Roman" w:eastAsia="Times New Roman" w:hAnsi="Times New Roman" w:cs="Times New Roman"/>
          <w:i/>
          <w:iCs/>
          <w:color w:val="000000"/>
          <w:sz w:val="16"/>
        </w:rPr>
        <w:t>Higher Education, Skills and Work-Based Learning</w:t>
      </w:r>
      <w:r w:rsidRPr="00E972D0">
        <w:rPr>
          <w:rFonts w:ascii="Times New Roman" w:eastAsia="Times New Roman" w:hAnsi="Times New Roman" w:cs="Times New Roman"/>
          <w:color w:val="000000"/>
          <w:sz w:val="16"/>
        </w:rPr>
        <w:t xml:space="preserve">, vol. 13, no. 5, pp. 865–885, Oct. 2023, </w:t>
      </w:r>
      <w:proofErr w:type="spellStart"/>
      <w:r w:rsidRPr="00E972D0">
        <w:rPr>
          <w:rFonts w:ascii="Times New Roman" w:eastAsia="Times New Roman" w:hAnsi="Times New Roman" w:cs="Times New Roman"/>
          <w:color w:val="000000"/>
          <w:sz w:val="16"/>
        </w:rPr>
        <w:t>doi</w:t>
      </w:r>
      <w:proofErr w:type="spellEnd"/>
      <w:r w:rsidRPr="00E972D0">
        <w:rPr>
          <w:rFonts w:ascii="Times New Roman" w:eastAsia="Times New Roman" w:hAnsi="Times New Roman" w:cs="Times New Roman"/>
          <w:color w:val="000000"/>
          <w:sz w:val="16"/>
        </w:rPr>
        <w:t>: 10.1108/HESWBL-12-2022-0257.</w:t>
      </w:r>
    </w:p>
    <w:p w14:paraId="2969F414" w14:textId="77777777" w:rsidR="00D70242" w:rsidRPr="00E972D0" w:rsidRDefault="00D70242" w:rsidP="00D70242">
      <w:pPr>
        <w:ind w:left="284" w:hanging="284"/>
        <w:jc w:val="both"/>
        <w:rPr>
          <w:rFonts w:ascii="Times New Roman" w:eastAsia="Times New Roman" w:hAnsi="Times New Roman" w:cs="Times New Roman"/>
          <w:color w:val="000000"/>
          <w:sz w:val="16"/>
        </w:rPr>
      </w:pPr>
      <w:r w:rsidRPr="00E972D0">
        <w:rPr>
          <w:rFonts w:ascii="Times New Roman" w:eastAsia="Times New Roman" w:hAnsi="Times New Roman" w:cs="Times New Roman"/>
          <w:color w:val="000000"/>
          <w:sz w:val="16"/>
        </w:rPr>
        <w:t>[4]</w:t>
      </w:r>
      <w:r w:rsidRPr="00E972D0">
        <w:rPr>
          <w:rFonts w:ascii="Times New Roman" w:eastAsia="Times New Roman" w:hAnsi="Times New Roman" w:cs="Times New Roman"/>
          <w:color w:val="000000"/>
          <w:sz w:val="16"/>
        </w:rPr>
        <w:tab/>
        <w:t xml:space="preserve">S. Alhazbi, “Pedagogically‐Informed Behavioural Learning Analytics: An Expert Approach to Predicting at‐Risk Students,” </w:t>
      </w:r>
      <w:r w:rsidRPr="00E972D0">
        <w:rPr>
          <w:rFonts w:ascii="Times New Roman" w:eastAsia="Times New Roman" w:hAnsi="Times New Roman" w:cs="Times New Roman"/>
          <w:i/>
          <w:iCs/>
          <w:color w:val="000000"/>
          <w:sz w:val="16"/>
        </w:rPr>
        <w:t>Expert Syst.</w:t>
      </w:r>
      <w:r w:rsidRPr="00E972D0">
        <w:rPr>
          <w:rFonts w:ascii="Times New Roman" w:eastAsia="Times New Roman" w:hAnsi="Times New Roman" w:cs="Times New Roman"/>
          <w:color w:val="000000"/>
          <w:sz w:val="16"/>
        </w:rPr>
        <w:t xml:space="preserve">, vol. 43, no. 3, Mar. 2026, </w:t>
      </w:r>
      <w:proofErr w:type="spellStart"/>
      <w:r w:rsidRPr="00E972D0">
        <w:rPr>
          <w:rFonts w:ascii="Times New Roman" w:eastAsia="Times New Roman" w:hAnsi="Times New Roman" w:cs="Times New Roman"/>
          <w:color w:val="000000"/>
          <w:sz w:val="16"/>
        </w:rPr>
        <w:t>doi</w:t>
      </w:r>
      <w:proofErr w:type="spellEnd"/>
      <w:r w:rsidRPr="00E972D0">
        <w:rPr>
          <w:rFonts w:ascii="Times New Roman" w:eastAsia="Times New Roman" w:hAnsi="Times New Roman" w:cs="Times New Roman"/>
          <w:color w:val="000000"/>
          <w:sz w:val="16"/>
        </w:rPr>
        <w:t>: 10.1111/exsy.70210.</w:t>
      </w:r>
    </w:p>
    <w:p w14:paraId="2E19AA8A" w14:textId="77777777" w:rsidR="00D70242" w:rsidRPr="00E972D0" w:rsidRDefault="00D70242" w:rsidP="00D70242">
      <w:pPr>
        <w:ind w:left="284" w:hanging="284"/>
        <w:jc w:val="both"/>
        <w:rPr>
          <w:rFonts w:ascii="Times New Roman" w:eastAsia="Times New Roman" w:hAnsi="Times New Roman" w:cs="Times New Roman"/>
          <w:color w:val="000000"/>
          <w:sz w:val="16"/>
        </w:rPr>
      </w:pPr>
      <w:r w:rsidRPr="00E972D0">
        <w:rPr>
          <w:rFonts w:ascii="Times New Roman" w:eastAsia="Times New Roman" w:hAnsi="Times New Roman" w:cs="Times New Roman"/>
          <w:color w:val="000000"/>
          <w:sz w:val="16"/>
        </w:rPr>
        <w:t>[5]</w:t>
      </w:r>
      <w:r w:rsidRPr="00E972D0">
        <w:rPr>
          <w:rFonts w:ascii="Times New Roman" w:eastAsia="Times New Roman" w:hAnsi="Times New Roman" w:cs="Times New Roman"/>
          <w:color w:val="000000"/>
          <w:sz w:val="16"/>
        </w:rPr>
        <w:tab/>
        <w:t xml:space="preserve">S. </w:t>
      </w:r>
      <w:proofErr w:type="spellStart"/>
      <w:r w:rsidRPr="00E972D0">
        <w:rPr>
          <w:rFonts w:ascii="Times New Roman" w:eastAsia="Times New Roman" w:hAnsi="Times New Roman" w:cs="Times New Roman"/>
          <w:color w:val="000000"/>
          <w:sz w:val="16"/>
        </w:rPr>
        <w:t>Hoca</w:t>
      </w:r>
      <w:proofErr w:type="spellEnd"/>
      <w:r w:rsidRPr="00E972D0">
        <w:rPr>
          <w:rFonts w:ascii="Times New Roman" w:eastAsia="Times New Roman" w:hAnsi="Times New Roman" w:cs="Times New Roman"/>
          <w:color w:val="000000"/>
          <w:sz w:val="16"/>
        </w:rPr>
        <w:t xml:space="preserve"> and N. </w:t>
      </w:r>
      <w:proofErr w:type="spellStart"/>
      <w:r w:rsidRPr="00E972D0">
        <w:rPr>
          <w:rFonts w:ascii="Times New Roman" w:eastAsia="Times New Roman" w:hAnsi="Times New Roman" w:cs="Times New Roman"/>
          <w:color w:val="000000"/>
          <w:sz w:val="16"/>
        </w:rPr>
        <w:t>Dimililer</w:t>
      </w:r>
      <w:proofErr w:type="spellEnd"/>
      <w:r w:rsidRPr="00E972D0">
        <w:rPr>
          <w:rFonts w:ascii="Times New Roman" w:eastAsia="Times New Roman" w:hAnsi="Times New Roman" w:cs="Times New Roman"/>
          <w:color w:val="000000"/>
          <w:sz w:val="16"/>
        </w:rPr>
        <w:t xml:space="preserve">, “A Machine Learning Framework for Student Retention Policy Development: A Case Study,” </w:t>
      </w:r>
      <w:r w:rsidRPr="00E972D0">
        <w:rPr>
          <w:rFonts w:ascii="Times New Roman" w:eastAsia="Times New Roman" w:hAnsi="Times New Roman" w:cs="Times New Roman"/>
          <w:i/>
          <w:iCs/>
          <w:color w:val="000000"/>
          <w:sz w:val="16"/>
        </w:rPr>
        <w:t>Applied Sciences</w:t>
      </w:r>
      <w:r w:rsidRPr="00E972D0">
        <w:rPr>
          <w:rFonts w:ascii="Times New Roman" w:eastAsia="Times New Roman" w:hAnsi="Times New Roman" w:cs="Times New Roman"/>
          <w:color w:val="000000"/>
          <w:sz w:val="16"/>
        </w:rPr>
        <w:t xml:space="preserve">, vol. 15, no. 6, p. 2989, Mar. 2025, </w:t>
      </w:r>
      <w:proofErr w:type="spellStart"/>
      <w:r w:rsidRPr="00E972D0">
        <w:rPr>
          <w:rFonts w:ascii="Times New Roman" w:eastAsia="Times New Roman" w:hAnsi="Times New Roman" w:cs="Times New Roman"/>
          <w:color w:val="000000"/>
          <w:sz w:val="16"/>
        </w:rPr>
        <w:t>doi</w:t>
      </w:r>
      <w:proofErr w:type="spellEnd"/>
      <w:r w:rsidRPr="00E972D0">
        <w:rPr>
          <w:rFonts w:ascii="Times New Roman" w:eastAsia="Times New Roman" w:hAnsi="Times New Roman" w:cs="Times New Roman"/>
          <w:color w:val="000000"/>
          <w:sz w:val="16"/>
        </w:rPr>
        <w:t>: 10.3390/app15062989.</w:t>
      </w:r>
    </w:p>
    <w:p w14:paraId="49FBCEA5" w14:textId="77777777" w:rsidR="00D70242" w:rsidRPr="00E972D0" w:rsidRDefault="00D70242" w:rsidP="00D70242">
      <w:pPr>
        <w:ind w:left="284" w:hanging="284"/>
        <w:jc w:val="both"/>
        <w:rPr>
          <w:rFonts w:ascii="Times New Roman" w:eastAsia="Times New Roman" w:hAnsi="Times New Roman" w:cs="Times New Roman"/>
          <w:color w:val="000000"/>
          <w:sz w:val="16"/>
        </w:rPr>
      </w:pPr>
      <w:r w:rsidRPr="00E972D0">
        <w:rPr>
          <w:rFonts w:ascii="Times New Roman" w:eastAsia="Times New Roman" w:hAnsi="Times New Roman" w:cs="Times New Roman"/>
          <w:color w:val="000000"/>
          <w:sz w:val="16"/>
        </w:rPr>
        <w:t>[6]</w:t>
      </w:r>
      <w:r w:rsidRPr="00E972D0">
        <w:rPr>
          <w:rFonts w:ascii="Times New Roman" w:eastAsia="Times New Roman" w:hAnsi="Times New Roman" w:cs="Times New Roman"/>
          <w:color w:val="000000"/>
          <w:sz w:val="16"/>
        </w:rPr>
        <w:tab/>
        <w:t xml:space="preserve">A. Suárez </w:t>
      </w:r>
      <w:r w:rsidRPr="00E972D0">
        <w:rPr>
          <w:rFonts w:ascii="Times New Roman" w:eastAsia="Times New Roman" w:hAnsi="Times New Roman" w:cs="Times New Roman"/>
          <w:i/>
          <w:iCs/>
          <w:color w:val="000000"/>
          <w:sz w:val="16"/>
        </w:rPr>
        <w:t>et al.</w:t>
      </w:r>
      <w:r w:rsidRPr="00E972D0">
        <w:rPr>
          <w:rFonts w:ascii="Times New Roman" w:eastAsia="Times New Roman" w:hAnsi="Times New Roman" w:cs="Times New Roman"/>
          <w:color w:val="000000"/>
          <w:sz w:val="16"/>
        </w:rPr>
        <w:t xml:space="preserve">, “Multi-Year Evaluation and Enhancement of a Questionnaire-Based Assessment Approach in Engineering Laboratory Instruction,” </w:t>
      </w:r>
      <w:r w:rsidRPr="00E972D0">
        <w:rPr>
          <w:rFonts w:ascii="Times New Roman" w:eastAsia="Times New Roman" w:hAnsi="Times New Roman" w:cs="Times New Roman"/>
          <w:i/>
          <w:iCs/>
          <w:color w:val="000000"/>
          <w:sz w:val="16"/>
        </w:rPr>
        <w:t xml:space="preserve">IEEE </w:t>
      </w:r>
      <w:proofErr w:type="spellStart"/>
      <w:r w:rsidRPr="00E972D0">
        <w:rPr>
          <w:rFonts w:ascii="Times New Roman" w:eastAsia="Times New Roman" w:hAnsi="Times New Roman" w:cs="Times New Roman"/>
          <w:i/>
          <w:iCs/>
          <w:color w:val="000000"/>
          <w:sz w:val="16"/>
        </w:rPr>
        <w:t>Revista</w:t>
      </w:r>
      <w:proofErr w:type="spellEnd"/>
      <w:r w:rsidRPr="00E972D0">
        <w:rPr>
          <w:rFonts w:ascii="Times New Roman" w:eastAsia="Times New Roman" w:hAnsi="Times New Roman" w:cs="Times New Roman"/>
          <w:i/>
          <w:iCs/>
          <w:color w:val="000000"/>
          <w:sz w:val="16"/>
        </w:rPr>
        <w:t xml:space="preserve"> </w:t>
      </w:r>
      <w:proofErr w:type="spellStart"/>
      <w:r w:rsidRPr="00E972D0">
        <w:rPr>
          <w:rFonts w:ascii="Times New Roman" w:eastAsia="Times New Roman" w:hAnsi="Times New Roman" w:cs="Times New Roman"/>
          <w:i/>
          <w:iCs/>
          <w:color w:val="000000"/>
          <w:sz w:val="16"/>
        </w:rPr>
        <w:t>Iberoamericana</w:t>
      </w:r>
      <w:proofErr w:type="spellEnd"/>
      <w:r w:rsidRPr="00E972D0">
        <w:rPr>
          <w:rFonts w:ascii="Times New Roman" w:eastAsia="Times New Roman" w:hAnsi="Times New Roman" w:cs="Times New Roman"/>
          <w:i/>
          <w:iCs/>
          <w:color w:val="000000"/>
          <w:sz w:val="16"/>
        </w:rPr>
        <w:t xml:space="preserve"> de </w:t>
      </w:r>
      <w:proofErr w:type="spellStart"/>
      <w:r w:rsidRPr="00E972D0">
        <w:rPr>
          <w:rFonts w:ascii="Times New Roman" w:eastAsia="Times New Roman" w:hAnsi="Times New Roman" w:cs="Times New Roman"/>
          <w:i/>
          <w:iCs/>
          <w:color w:val="000000"/>
          <w:sz w:val="16"/>
        </w:rPr>
        <w:t>Tecnologias</w:t>
      </w:r>
      <w:proofErr w:type="spellEnd"/>
      <w:r w:rsidRPr="00E972D0">
        <w:rPr>
          <w:rFonts w:ascii="Times New Roman" w:eastAsia="Times New Roman" w:hAnsi="Times New Roman" w:cs="Times New Roman"/>
          <w:i/>
          <w:iCs/>
          <w:color w:val="000000"/>
          <w:sz w:val="16"/>
        </w:rPr>
        <w:t xml:space="preserve"> del </w:t>
      </w:r>
      <w:proofErr w:type="spellStart"/>
      <w:r w:rsidRPr="00E972D0">
        <w:rPr>
          <w:rFonts w:ascii="Times New Roman" w:eastAsia="Times New Roman" w:hAnsi="Times New Roman" w:cs="Times New Roman"/>
          <w:i/>
          <w:iCs/>
          <w:color w:val="000000"/>
          <w:sz w:val="16"/>
        </w:rPr>
        <w:t>Aprendizaje</w:t>
      </w:r>
      <w:proofErr w:type="spellEnd"/>
      <w:r w:rsidRPr="00E972D0">
        <w:rPr>
          <w:rFonts w:ascii="Times New Roman" w:eastAsia="Times New Roman" w:hAnsi="Times New Roman" w:cs="Times New Roman"/>
          <w:color w:val="000000"/>
          <w:sz w:val="16"/>
        </w:rPr>
        <w:t xml:space="preserve">, vol. 21, pp. 37–42, 2026, </w:t>
      </w:r>
      <w:proofErr w:type="spellStart"/>
      <w:r w:rsidRPr="00E972D0">
        <w:rPr>
          <w:rFonts w:ascii="Times New Roman" w:eastAsia="Times New Roman" w:hAnsi="Times New Roman" w:cs="Times New Roman"/>
          <w:color w:val="000000"/>
          <w:sz w:val="16"/>
        </w:rPr>
        <w:t>doi</w:t>
      </w:r>
      <w:proofErr w:type="spellEnd"/>
      <w:r w:rsidRPr="00E972D0">
        <w:rPr>
          <w:rFonts w:ascii="Times New Roman" w:eastAsia="Times New Roman" w:hAnsi="Times New Roman" w:cs="Times New Roman"/>
          <w:color w:val="000000"/>
          <w:sz w:val="16"/>
        </w:rPr>
        <w:t>: 10.1109/RITA.2026.3654759.</w:t>
      </w:r>
    </w:p>
    <w:p w14:paraId="6E46ABD5" w14:textId="77777777" w:rsidR="00D70242" w:rsidRPr="00E972D0" w:rsidRDefault="00D70242" w:rsidP="00D70242">
      <w:pPr>
        <w:ind w:left="284" w:hanging="284"/>
        <w:jc w:val="both"/>
        <w:rPr>
          <w:rFonts w:ascii="Times New Roman" w:eastAsia="Times New Roman" w:hAnsi="Times New Roman" w:cs="Times New Roman"/>
          <w:color w:val="000000"/>
          <w:sz w:val="16"/>
        </w:rPr>
      </w:pPr>
      <w:r w:rsidRPr="00E972D0">
        <w:rPr>
          <w:rFonts w:ascii="Times New Roman" w:eastAsia="Times New Roman" w:hAnsi="Times New Roman" w:cs="Times New Roman"/>
          <w:color w:val="000000"/>
          <w:sz w:val="16"/>
        </w:rPr>
        <w:t>[7]</w:t>
      </w:r>
      <w:r w:rsidRPr="00E972D0">
        <w:rPr>
          <w:rFonts w:ascii="Times New Roman" w:eastAsia="Times New Roman" w:hAnsi="Times New Roman" w:cs="Times New Roman"/>
          <w:color w:val="000000"/>
          <w:sz w:val="16"/>
        </w:rPr>
        <w:tab/>
        <w:t xml:space="preserve">M. Saqr, S. López-Pernas, S. </w:t>
      </w:r>
      <w:proofErr w:type="spellStart"/>
      <w:r w:rsidRPr="00E972D0">
        <w:rPr>
          <w:rFonts w:ascii="Times New Roman" w:eastAsia="Times New Roman" w:hAnsi="Times New Roman" w:cs="Times New Roman"/>
          <w:color w:val="000000"/>
          <w:sz w:val="16"/>
        </w:rPr>
        <w:t>Helske</w:t>
      </w:r>
      <w:proofErr w:type="spellEnd"/>
      <w:r w:rsidRPr="00E972D0">
        <w:rPr>
          <w:rFonts w:ascii="Times New Roman" w:eastAsia="Times New Roman" w:hAnsi="Times New Roman" w:cs="Times New Roman"/>
          <w:color w:val="000000"/>
          <w:sz w:val="16"/>
        </w:rPr>
        <w:t xml:space="preserve">, and S. Hrastinski, “The longitudinal association between engagement and achievement varies by time, students’ profiles, and achievement state: A full program study,” </w:t>
      </w:r>
      <w:proofErr w:type="spellStart"/>
      <w:r w:rsidRPr="00E972D0">
        <w:rPr>
          <w:rFonts w:ascii="Times New Roman" w:eastAsia="Times New Roman" w:hAnsi="Times New Roman" w:cs="Times New Roman"/>
          <w:i/>
          <w:iCs/>
          <w:color w:val="000000"/>
          <w:sz w:val="16"/>
        </w:rPr>
        <w:t>Comput</w:t>
      </w:r>
      <w:proofErr w:type="spellEnd"/>
      <w:r w:rsidRPr="00E972D0">
        <w:rPr>
          <w:rFonts w:ascii="Times New Roman" w:eastAsia="Times New Roman" w:hAnsi="Times New Roman" w:cs="Times New Roman"/>
          <w:i/>
          <w:iCs/>
          <w:color w:val="000000"/>
          <w:sz w:val="16"/>
        </w:rPr>
        <w:t>. Educ.</w:t>
      </w:r>
      <w:r w:rsidRPr="00E972D0">
        <w:rPr>
          <w:rFonts w:ascii="Times New Roman" w:eastAsia="Times New Roman" w:hAnsi="Times New Roman" w:cs="Times New Roman"/>
          <w:color w:val="000000"/>
          <w:sz w:val="16"/>
        </w:rPr>
        <w:t xml:space="preserve">, vol. 199, p. 104787, Jul. 2023, </w:t>
      </w:r>
      <w:proofErr w:type="spellStart"/>
      <w:r w:rsidRPr="00E972D0">
        <w:rPr>
          <w:rFonts w:ascii="Times New Roman" w:eastAsia="Times New Roman" w:hAnsi="Times New Roman" w:cs="Times New Roman"/>
          <w:color w:val="000000"/>
          <w:sz w:val="16"/>
        </w:rPr>
        <w:t>doi</w:t>
      </w:r>
      <w:proofErr w:type="spellEnd"/>
      <w:r w:rsidRPr="00E972D0">
        <w:rPr>
          <w:rFonts w:ascii="Times New Roman" w:eastAsia="Times New Roman" w:hAnsi="Times New Roman" w:cs="Times New Roman"/>
          <w:color w:val="000000"/>
          <w:sz w:val="16"/>
        </w:rPr>
        <w:t>: 10.1016/j.compedu.2023.104787.</w:t>
      </w:r>
    </w:p>
    <w:p w14:paraId="48B3587F" w14:textId="71F10CFB" w:rsidR="00D70242" w:rsidRPr="00E972D0" w:rsidRDefault="00D70242" w:rsidP="7D190DE2">
      <w:pPr>
        <w:ind w:left="284" w:hanging="284"/>
        <w:jc w:val="both"/>
        <w:rPr>
          <w:rFonts w:ascii="Times New Roman" w:eastAsia="Times New Roman" w:hAnsi="Times New Roman" w:cs="Times New Roman"/>
          <w:color w:val="000000" w:themeColor="text1"/>
          <w:sz w:val="16"/>
          <w:szCs w:val="16"/>
        </w:rPr>
      </w:pPr>
      <w:r w:rsidRPr="7D190DE2">
        <w:rPr>
          <w:rFonts w:ascii="Times New Roman" w:eastAsia="Times New Roman" w:hAnsi="Times New Roman" w:cs="Times New Roman"/>
          <w:color w:val="000000" w:themeColor="text1"/>
          <w:sz w:val="16"/>
          <w:szCs w:val="16"/>
        </w:rPr>
        <w:t>[8]</w:t>
      </w:r>
      <w:r>
        <w:tab/>
      </w:r>
      <w:r w:rsidRPr="7D190DE2">
        <w:rPr>
          <w:rFonts w:ascii="Times New Roman" w:eastAsia="Times New Roman" w:hAnsi="Times New Roman" w:cs="Times New Roman"/>
          <w:color w:val="000000" w:themeColor="text1"/>
          <w:sz w:val="16"/>
          <w:szCs w:val="16"/>
        </w:rPr>
        <w:t xml:space="preserve">K. Jwa and C. G. P. Berdanier, “Witnessing ‘De‐Socialization’: Investigating unexpected longitudinal trends in engineering doctoral socialization,” </w:t>
      </w:r>
      <w:r w:rsidRPr="7D190DE2">
        <w:rPr>
          <w:rFonts w:ascii="Times New Roman" w:eastAsia="Times New Roman" w:hAnsi="Times New Roman" w:cs="Times New Roman"/>
          <w:i/>
          <w:iCs/>
          <w:color w:val="000000" w:themeColor="text1"/>
          <w:sz w:val="16"/>
          <w:szCs w:val="16"/>
        </w:rPr>
        <w:t>Journal of Engineering Education</w:t>
      </w:r>
      <w:r w:rsidRPr="7D190DE2">
        <w:rPr>
          <w:rFonts w:ascii="Times New Roman" w:eastAsia="Times New Roman" w:hAnsi="Times New Roman" w:cs="Times New Roman"/>
          <w:color w:val="000000" w:themeColor="text1"/>
          <w:sz w:val="16"/>
          <w:szCs w:val="16"/>
        </w:rPr>
        <w:t xml:space="preserve">, vol. 115, no. 1, Jan. 2026, </w:t>
      </w:r>
      <w:proofErr w:type="spellStart"/>
      <w:r w:rsidRPr="7D190DE2">
        <w:rPr>
          <w:rFonts w:ascii="Times New Roman" w:eastAsia="Times New Roman" w:hAnsi="Times New Roman" w:cs="Times New Roman"/>
          <w:color w:val="000000" w:themeColor="text1"/>
          <w:sz w:val="16"/>
          <w:szCs w:val="16"/>
        </w:rPr>
        <w:t>doi</w:t>
      </w:r>
      <w:proofErr w:type="spellEnd"/>
      <w:r w:rsidRPr="7D190DE2">
        <w:rPr>
          <w:rFonts w:ascii="Times New Roman" w:eastAsia="Times New Roman" w:hAnsi="Times New Roman" w:cs="Times New Roman"/>
          <w:color w:val="000000" w:themeColor="text1"/>
          <w:sz w:val="16"/>
          <w:szCs w:val="16"/>
        </w:rPr>
        <w:t>: 10.1002/jee.70040.</w:t>
      </w:r>
    </w:p>
    <w:p w14:paraId="7D6A5C7A" w14:textId="0C03E921" w:rsidR="00D70242" w:rsidRPr="00E972D0" w:rsidRDefault="00D70242" w:rsidP="7D190DE2">
      <w:pPr>
        <w:ind w:left="284" w:hanging="284"/>
        <w:jc w:val="both"/>
        <w:rPr>
          <w:rFonts w:ascii="Times New Roman" w:eastAsia="Times New Roman" w:hAnsi="Times New Roman" w:cs="Times New Roman"/>
          <w:color w:val="000000"/>
          <w:sz w:val="16"/>
          <w:szCs w:val="16"/>
        </w:rPr>
      </w:pPr>
      <w:r w:rsidRPr="7D190DE2">
        <w:rPr>
          <w:rFonts w:ascii="Times New Roman" w:eastAsia="Times New Roman" w:hAnsi="Times New Roman" w:cs="Times New Roman"/>
          <w:color w:val="000000" w:themeColor="text1"/>
          <w:sz w:val="16"/>
          <w:szCs w:val="16"/>
        </w:rPr>
        <w:t>[</w:t>
      </w:r>
      <w:r w:rsidR="797193F1" w:rsidRPr="7D190DE2">
        <w:rPr>
          <w:rFonts w:ascii="Times New Roman" w:eastAsia="Times New Roman" w:hAnsi="Times New Roman" w:cs="Times New Roman"/>
          <w:color w:val="000000" w:themeColor="text1"/>
          <w:sz w:val="16"/>
          <w:szCs w:val="16"/>
        </w:rPr>
        <w:t>9] A.</w:t>
      </w:r>
      <w:r w:rsidRPr="7D190DE2">
        <w:rPr>
          <w:rFonts w:ascii="Times New Roman" w:eastAsia="Times New Roman" w:hAnsi="Times New Roman" w:cs="Times New Roman"/>
          <w:color w:val="000000" w:themeColor="text1"/>
          <w:sz w:val="16"/>
          <w:szCs w:val="16"/>
        </w:rPr>
        <w:t xml:space="preserve"> Igualde-Sáez </w:t>
      </w:r>
      <w:r w:rsidRPr="7D190DE2">
        <w:rPr>
          <w:rFonts w:ascii="Times New Roman" w:eastAsia="Times New Roman" w:hAnsi="Times New Roman" w:cs="Times New Roman"/>
          <w:i/>
          <w:iCs/>
          <w:color w:val="000000" w:themeColor="text1"/>
          <w:sz w:val="16"/>
          <w:szCs w:val="16"/>
        </w:rPr>
        <w:t>et al.</w:t>
      </w:r>
      <w:r w:rsidRPr="7D190DE2">
        <w:rPr>
          <w:rFonts w:ascii="Times New Roman" w:eastAsia="Times New Roman" w:hAnsi="Times New Roman" w:cs="Times New Roman"/>
          <w:color w:val="000000" w:themeColor="text1"/>
          <w:sz w:val="16"/>
          <w:szCs w:val="16"/>
        </w:rPr>
        <w:t xml:space="preserve">, “University Student Dropout: A Longitudinal Dataset of Demographic, Socioeconomic, and Academic Indicators,” </w:t>
      </w:r>
      <w:r w:rsidRPr="7D190DE2">
        <w:rPr>
          <w:rFonts w:ascii="Times New Roman" w:eastAsia="Times New Roman" w:hAnsi="Times New Roman" w:cs="Times New Roman"/>
          <w:i/>
          <w:iCs/>
          <w:color w:val="000000" w:themeColor="text1"/>
          <w:sz w:val="16"/>
          <w:szCs w:val="16"/>
        </w:rPr>
        <w:t>Data (Basel).</w:t>
      </w:r>
      <w:r w:rsidRPr="7D190DE2">
        <w:rPr>
          <w:rFonts w:ascii="Times New Roman" w:eastAsia="Times New Roman" w:hAnsi="Times New Roman" w:cs="Times New Roman"/>
          <w:color w:val="000000" w:themeColor="text1"/>
          <w:sz w:val="16"/>
          <w:szCs w:val="16"/>
        </w:rPr>
        <w:t>, vol. 10, no. 10, p. 162, Oct. 2025, doi: 10.3390/data10100162.</w:t>
      </w:r>
    </w:p>
    <w:p w14:paraId="6E7BEAA2" w14:textId="77777777" w:rsidR="00D70242" w:rsidRDefault="00D70242" w:rsidP="00D70242">
      <w:pPr>
        <w:pStyle w:val="Referenceentry"/>
        <w:numPr>
          <w:ilvl w:val="0"/>
          <w:numId w:val="0"/>
        </w:numPr>
        <w:ind w:left="270" w:hanging="270"/>
      </w:pPr>
      <w:r w:rsidRPr="00E972D0">
        <w:rPr>
          <w:rFonts w:eastAsia="Times New Roman"/>
          <w:color w:val="000000"/>
        </w:rPr>
        <w:t> </w:t>
      </w:r>
    </w:p>
    <w:sectPr w:rsidR="00D70242" w:rsidSect="00DA6B2F">
      <w:type w:val="continuous"/>
      <w:pgSz w:w="12240" w:h="15840" w:code="1"/>
      <w:pgMar w:top="1080" w:right="900" w:bottom="189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D9E3A" w14:textId="77777777" w:rsidR="008B259F" w:rsidRDefault="008B259F">
      <w:r>
        <w:separator/>
      </w:r>
    </w:p>
  </w:endnote>
  <w:endnote w:type="continuationSeparator" w:id="0">
    <w:p w14:paraId="18DB6FFF" w14:textId="77777777" w:rsidR="008B259F" w:rsidRDefault="008B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740CE" w14:textId="77777777" w:rsidR="00E15692" w:rsidRDefault="00E15692" w:rsidP="00BB5342">
    <w:pPr>
      <w:pStyle w:val="Piedepgina"/>
      <w:tabs>
        <w:tab w:val="clear" w:pos="4680"/>
        <w:tab w:val="clear" w:pos="9360"/>
        <w:tab w:val="right" w:pos="10440"/>
      </w:tabs>
      <w:rPr>
        <w:bCs/>
        <w:sz w:val="14"/>
        <w:szCs w:val="14"/>
      </w:rPr>
    </w:pPr>
    <w:r w:rsidRPr="00373B92">
      <w:rPr>
        <w:b/>
        <w:sz w:val="14"/>
        <w:szCs w:val="14"/>
      </w:rPr>
      <w:t>2</w:t>
    </w:r>
    <w:r w:rsidR="001D396C">
      <w:rPr>
        <w:b/>
        <w:sz w:val="14"/>
        <w:szCs w:val="14"/>
      </w:rPr>
      <w:t>4</w:t>
    </w:r>
    <w:r w:rsidR="001D396C">
      <w:rPr>
        <w:b/>
        <w:sz w:val="14"/>
        <w:szCs w:val="14"/>
        <w:vertAlign w:val="superscript"/>
      </w:rPr>
      <w:t>th</w:t>
    </w:r>
    <w:r w:rsidRPr="00373B92">
      <w:rPr>
        <w:b/>
        <w:sz w:val="14"/>
        <w:szCs w:val="14"/>
      </w:rPr>
      <w:t xml:space="preserve"> LACCEI International Multi-Conference for Engineering, Education, and Technology: </w:t>
    </w:r>
    <w:r>
      <w:rPr>
        <w:b/>
        <w:sz w:val="14"/>
        <w:szCs w:val="14"/>
      </w:rPr>
      <w:t>“</w:t>
    </w:r>
    <w:r w:rsidR="001D396C" w:rsidRPr="001D396C">
      <w:rPr>
        <w:bCs/>
        <w:i/>
        <w:iCs/>
        <w:sz w:val="14"/>
        <w:szCs w:val="14"/>
      </w:rPr>
      <w:t>Engineering without Borders: Artificial Intelligence, Knowledge, Innovation, and Alliances for a Future from the Americas</w:t>
    </w:r>
    <w:r>
      <w:rPr>
        <w:b/>
        <w:sz w:val="14"/>
        <w:szCs w:val="14"/>
      </w:rPr>
      <w:t>”</w:t>
    </w:r>
    <w:r w:rsidRPr="00CB3401">
      <w:rPr>
        <w:bCs/>
        <w:i/>
        <w:iCs/>
        <w:sz w:val="14"/>
        <w:szCs w:val="14"/>
      </w:rPr>
      <w:t>.</w:t>
    </w:r>
    <w:r>
      <w:rPr>
        <w:b/>
        <w:sz w:val="14"/>
        <w:szCs w:val="14"/>
      </w:rPr>
      <w:t xml:space="preserve"> </w:t>
    </w:r>
    <w:r w:rsidRPr="00016176">
      <w:rPr>
        <w:bCs/>
        <w:sz w:val="14"/>
        <w:szCs w:val="14"/>
      </w:rPr>
      <w:t xml:space="preserve">Hybrid Event, </w:t>
    </w:r>
    <w:r w:rsidR="0035034D">
      <w:rPr>
        <w:bCs/>
        <w:sz w:val="14"/>
        <w:szCs w:val="14"/>
      </w:rPr>
      <w:t>Santiago-Chile</w:t>
    </w:r>
    <w:r w:rsidRPr="00016176">
      <w:rPr>
        <w:bCs/>
        <w:sz w:val="14"/>
        <w:szCs w:val="14"/>
      </w:rPr>
      <w:t>, July 1</w:t>
    </w:r>
    <w:r w:rsidR="001D396C">
      <w:rPr>
        <w:bCs/>
        <w:sz w:val="14"/>
        <w:szCs w:val="14"/>
      </w:rPr>
      <w:t>5</w:t>
    </w:r>
    <w:r w:rsidRPr="00016176">
      <w:rPr>
        <w:bCs/>
        <w:sz w:val="14"/>
        <w:szCs w:val="14"/>
      </w:rPr>
      <w:t xml:space="preserve"> - </w:t>
    </w:r>
    <w:r>
      <w:rPr>
        <w:bCs/>
        <w:sz w:val="14"/>
        <w:szCs w:val="14"/>
      </w:rPr>
      <w:t>1</w:t>
    </w:r>
    <w:r w:rsidR="001D396C">
      <w:rPr>
        <w:bCs/>
        <w:sz w:val="14"/>
        <w:szCs w:val="14"/>
      </w:rPr>
      <w:t>7</w:t>
    </w:r>
    <w:r w:rsidRPr="00016176">
      <w:rPr>
        <w:bCs/>
        <w:sz w:val="14"/>
        <w:szCs w:val="14"/>
      </w:rPr>
      <w:t>, 202</w:t>
    </w:r>
    <w:r w:rsidR="001D396C">
      <w:rPr>
        <w:bCs/>
        <w:sz w:val="14"/>
        <w:szCs w:val="14"/>
      </w:rPr>
      <w:t>6</w:t>
    </w:r>
  </w:p>
  <w:p w14:paraId="3D3D22A9" w14:textId="77777777" w:rsidR="00A35CE5" w:rsidRPr="008223B2" w:rsidRDefault="00A35CE5" w:rsidP="00D80AA1">
    <w:pPr>
      <w:pStyle w:val="Piedepgina"/>
      <w:tabs>
        <w:tab w:val="clear" w:pos="4680"/>
        <w:tab w:val="clear" w:pos="9360"/>
        <w:tab w:val="right" w:pos="10440"/>
      </w:tabs>
      <w:jc w:val="right"/>
      <w:rPr>
        <w:i/>
        <w:sz w:val="16"/>
        <w:szCs w:val="18"/>
        <w:lang w:val="en-US"/>
      </w:rPr>
    </w:pPr>
    <w:r w:rsidRPr="008223B2">
      <w:rPr>
        <w:sz w:val="16"/>
        <w:szCs w:val="16"/>
        <w:lang w:val="es-ES"/>
      </w:rPr>
      <w:fldChar w:fldCharType="begin"/>
    </w:r>
    <w:r w:rsidRPr="008223B2">
      <w:rPr>
        <w:sz w:val="16"/>
        <w:szCs w:val="16"/>
        <w:lang w:val="en-US"/>
      </w:rPr>
      <w:instrText xml:space="preserve"> PAGE   \* MERGEFORMAT </w:instrText>
    </w:r>
    <w:r w:rsidRPr="008223B2">
      <w:rPr>
        <w:sz w:val="16"/>
        <w:szCs w:val="16"/>
        <w:lang w:val="es-ES"/>
      </w:rPr>
      <w:fldChar w:fldCharType="separate"/>
    </w:r>
    <w:r w:rsidR="007D251B" w:rsidRPr="008223B2">
      <w:rPr>
        <w:noProof/>
        <w:sz w:val="16"/>
        <w:szCs w:val="16"/>
        <w:lang w:val="en-US"/>
      </w:rPr>
      <w:t>1</w:t>
    </w:r>
    <w:r w:rsidRPr="008223B2">
      <w:rPr>
        <w:noProof/>
        <w:sz w:val="16"/>
        <w:szCs w:val="16"/>
        <w:lang w:val="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C5FC" w14:textId="77777777" w:rsidR="00E15692" w:rsidRDefault="00E15692" w:rsidP="00BB5342">
    <w:pPr>
      <w:pStyle w:val="Piedepgina"/>
      <w:tabs>
        <w:tab w:val="clear" w:pos="4680"/>
        <w:tab w:val="clear" w:pos="9360"/>
        <w:tab w:val="right" w:pos="10440"/>
      </w:tabs>
      <w:rPr>
        <w:bCs/>
        <w:sz w:val="14"/>
        <w:szCs w:val="14"/>
      </w:rPr>
    </w:pPr>
    <w:r w:rsidRPr="00373B92">
      <w:rPr>
        <w:b/>
        <w:sz w:val="14"/>
        <w:szCs w:val="14"/>
      </w:rPr>
      <w:t>2</w:t>
    </w:r>
    <w:r w:rsidR="001D396C">
      <w:rPr>
        <w:b/>
        <w:sz w:val="14"/>
        <w:szCs w:val="14"/>
      </w:rPr>
      <w:t>4</w:t>
    </w:r>
    <w:r w:rsidR="001D396C">
      <w:rPr>
        <w:b/>
        <w:sz w:val="14"/>
        <w:szCs w:val="14"/>
        <w:vertAlign w:val="superscript"/>
      </w:rPr>
      <w:t>th</w:t>
    </w:r>
    <w:r w:rsidRPr="00373B92">
      <w:rPr>
        <w:b/>
        <w:sz w:val="14"/>
        <w:szCs w:val="14"/>
      </w:rPr>
      <w:t xml:space="preserve"> LACCEI International Multi-Conference for Engineering, Education, and Technology: </w:t>
    </w:r>
    <w:r>
      <w:rPr>
        <w:b/>
        <w:sz w:val="14"/>
        <w:szCs w:val="14"/>
      </w:rPr>
      <w:t>“</w:t>
    </w:r>
    <w:r w:rsidR="001D396C" w:rsidRPr="001D396C">
      <w:rPr>
        <w:bCs/>
        <w:i/>
        <w:iCs/>
        <w:sz w:val="14"/>
        <w:szCs w:val="14"/>
      </w:rPr>
      <w:t>Engineering without Borders: Artificial Intelligence, Knowledge, Innovation, and Alliances for a Future from the Americas</w:t>
    </w:r>
    <w:r>
      <w:rPr>
        <w:b/>
        <w:sz w:val="14"/>
        <w:szCs w:val="14"/>
      </w:rPr>
      <w:t>”</w:t>
    </w:r>
    <w:r w:rsidRPr="00CB3401">
      <w:rPr>
        <w:bCs/>
        <w:i/>
        <w:iCs/>
        <w:sz w:val="14"/>
        <w:szCs w:val="14"/>
      </w:rPr>
      <w:t>.</w:t>
    </w:r>
    <w:r>
      <w:rPr>
        <w:b/>
        <w:sz w:val="14"/>
        <w:szCs w:val="14"/>
      </w:rPr>
      <w:t xml:space="preserve"> </w:t>
    </w:r>
    <w:r w:rsidRPr="00016176">
      <w:rPr>
        <w:bCs/>
        <w:sz w:val="14"/>
        <w:szCs w:val="14"/>
      </w:rPr>
      <w:t xml:space="preserve">Hybrid Event, </w:t>
    </w:r>
    <w:r w:rsidR="0035034D">
      <w:rPr>
        <w:bCs/>
        <w:sz w:val="14"/>
        <w:szCs w:val="14"/>
      </w:rPr>
      <w:t>Santiago-Chile</w:t>
    </w:r>
    <w:r w:rsidRPr="00016176">
      <w:rPr>
        <w:bCs/>
        <w:sz w:val="14"/>
        <w:szCs w:val="14"/>
      </w:rPr>
      <w:t>, July 1</w:t>
    </w:r>
    <w:r w:rsidR="001D396C">
      <w:rPr>
        <w:bCs/>
        <w:sz w:val="14"/>
        <w:szCs w:val="14"/>
      </w:rPr>
      <w:t>5</w:t>
    </w:r>
    <w:r w:rsidRPr="00016176">
      <w:rPr>
        <w:bCs/>
        <w:sz w:val="14"/>
        <w:szCs w:val="14"/>
      </w:rPr>
      <w:t xml:space="preserve"> - </w:t>
    </w:r>
    <w:r>
      <w:rPr>
        <w:bCs/>
        <w:sz w:val="14"/>
        <w:szCs w:val="14"/>
      </w:rPr>
      <w:t>1</w:t>
    </w:r>
    <w:r w:rsidR="001D396C">
      <w:rPr>
        <w:bCs/>
        <w:sz w:val="14"/>
        <w:szCs w:val="14"/>
      </w:rPr>
      <w:t>7</w:t>
    </w:r>
    <w:r w:rsidRPr="00016176">
      <w:rPr>
        <w:bCs/>
        <w:sz w:val="14"/>
        <w:szCs w:val="14"/>
      </w:rPr>
      <w:t>, 202</w:t>
    </w:r>
    <w:r w:rsidR="001D396C">
      <w:rPr>
        <w:bCs/>
        <w:sz w:val="14"/>
        <w:szCs w:val="14"/>
      </w:rPr>
      <w:t>6</w:t>
    </w:r>
  </w:p>
  <w:p w14:paraId="324AAD8A" w14:textId="77777777" w:rsidR="00A35CE5" w:rsidRPr="008223B2" w:rsidRDefault="00A35CE5" w:rsidP="00D80AA1">
    <w:pPr>
      <w:pStyle w:val="Piedepgina"/>
      <w:tabs>
        <w:tab w:val="clear" w:pos="4680"/>
        <w:tab w:val="clear" w:pos="9360"/>
        <w:tab w:val="right" w:pos="10440"/>
      </w:tabs>
      <w:jc w:val="right"/>
      <w:rPr>
        <w:i/>
        <w:sz w:val="16"/>
        <w:szCs w:val="18"/>
        <w:lang w:val="en-US"/>
      </w:rPr>
    </w:pPr>
    <w:r w:rsidRPr="008223B2">
      <w:rPr>
        <w:sz w:val="16"/>
        <w:szCs w:val="16"/>
        <w:lang w:val="es-ES"/>
      </w:rPr>
      <w:fldChar w:fldCharType="begin"/>
    </w:r>
    <w:r w:rsidRPr="008223B2">
      <w:rPr>
        <w:sz w:val="16"/>
        <w:szCs w:val="16"/>
        <w:lang w:val="en-US"/>
      </w:rPr>
      <w:instrText xml:space="preserve"> PAGE   \* MERGEFORMAT </w:instrText>
    </w:r>
    <w:r w:rsidRPr="008223B2">
      <w:rPr>
        <w:sz w:val="16"/>
        <w:szCs w:val="16"/>
        <w:lang w:val="es-ES"/>
      </w:rPr>
      <w:fldChar w:fldCharType="separate"/>
    </w:r>
    <w:r w:rsidR="007D251B" w:rsidRPr="008223B2">
      <w:rPr>
        <w:noProof/>
        <w:sz w:val="16"/>
        <w:szCs w:val="16"/>
        <w:lang w:val="en-US"/>
      </w:rPr>
      <w:t>1</w:t>
    </w:r>
    <w:r w:rsidRPr="008223B2">
      <w:rPr>
        <w:noProof/>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38DE8" w14:textId="77777777" w:rsidR="008B259F" w:rsidRDefault="008B259F">
      <w:r>
        <w:separator/>
      </w:r>
    </w:p>
  </w:footnote>
  <w:footnote w:type="continuationSeparator" w:id="0">
    <w:p w14:paraId="5E1CD646" w14:textId="77777777" w:rsidR="008B259F" w:rsidRDefault="008B2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E427089"/>
    <w:multiLevelType w:val="hybridMultilevel"/>
    <w:tmpl w:val="E2404DD4"/>
    <w:lvl w:ilvl="0" w:tplc="C76AEB7E">
      <w:numFmt w:val="bullet"/>
      <w:lvlText w:val=""/>
      <w:lvlJc w:val="left"/>
      <w:pPr>
        <w:ind w:left="562" w:hanging="360"/>
      </w:pPr>
      <w:rPr>
        <w:rFonts w:ascii="Symbol" w:eastAsia="Times New Roman" w:hAnsi="Symbol" w:cs="Times New Roman"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2" w15:restartNumberingAfterBreak="0">
    <w:nsid w:val="69907BEC"/>
    <w:multiLevelType w:val="hybridMultilevel"/>
    <w:tmpl w:val="6E2C0C22"/>
    <w:lvl w:ilvl="0" w:tplc="DB561C22">
      <w:start w:val="1"/>
      <w:numFmt w:val="decimal"/>
      <w:pStyle w:val="Referenceentry"/>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650133758">
    <w:abstractNumId w:val="2"/>
  </w:num>
  <w:num w:numId="2" w16cid:durableId="1760717876">
    <w:abstractNumId w:val="0"/>
  </w:num>
  <w:num w:numId="3" w16cid:durableId="1122767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activeWritingStyle w:appName="MSWord" w:lang="es-CO"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CO" w:vendorID="64" w:dllVersion="0" w:nlCheck="1" w:checkStyle="0"/>
  <w:activeWritingStyle w:appName="MSWord" w:lang="en-AU" w:vendorID="64" w:dllVersion="0" w:nlCheck="1" w:checkStyle="0"/>
  <w:activeWritingStyle w:appName="MSWord" w:lang="en-US" w:vendorID="64" w:dllVersion="0" w:nlCheck="1" w:checkStyle="0"/>
  <w:activeWritingStyle w:appName="MSWord" w:lang="es-E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0" fillcolor="white" stroke="f">
      <v:fill color="white"/>
      <v:stroke on="f"/>
    </o:shapedefaults>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150FF"/>
    <w:rsid w:val="00031A82"/>
    <w:rsid w:val="00040A9C"/>
    <w:rsid w:val="000462A4"/>
    <w:rsid w:val="00075059"/>
    <w:rsid w:val="00085890"/>
    <w:rsid w:val="00085C72"/>
    <w:rsid w:val="00086B75"/>
    <w:rsid w:val="000A2504"/>
    <w:rsid w:val="000A72A8"/>
    <w:rsid w:val="000B3D72"/>
    <w:rsid w:val="000D636D"/>
    <w:rsid w:val="000E2447"/>
    <w:rsid w:val="000E3ABA"/>
    <w:rsid w:val="00100085"/>
    <w:rsid w:val="00134578"/>
    <w:rsid w:val="00140455"/>
    <w:rsid w:val="00147DBE"/>
    <w:rsid w:val="001541FE"/>
    <w:rsid w:val="001746A0"/>
    <w:rsid w:val="001B1808"/>
    <w:rsid w:val="001D396C"/>
    <w:rsid w:val="0020684F"/>
    <w:rsid w:val="0022481D"/>
    <w:rsid w:val="00247577"/>
    <w:rsid w:val="00255307"/>
    <w:rsid w:val="00260E28"/>
    <w:rsid w:val="00263849"/>
    <w:rsid w:val="00263D89"/>
    <w:rsid w:val="00271FA8"/>
    <w:rsid w:val="0028224D"/>
    <w:rsid w:val="00291C9F"/>
    <w:rsid w:val="002A17F4"/>
    <w:rsid w:val="002B2ED5"/>
    <w:rsid w:val="002D3D1A"/>
    <w:rsid w:val="002E6FD2"/>
    <w:rsid w:val="00310AA7"/>
    <w:rsid w:val="00332A9E"/>
    <w:rsid w:val="003345DD"/>
    <w:rsid w:val="003465D7"/>
    <w:rsid w:val="0035034D"/>
    <w:rsid w:val="00351E1E"/>
    <w:rsid w:val="00352487"/>
    <w:rsid w:val="003805EE"/>
    <w:rsid w:val="003A3337"/>
    <w:rsid w:val="003D3924"/>
    <w:rsid w:val="004057E5"/>
    <w:rsid w:val="00406760"/>
    <w:rsid w:val="00411A52"/>
    <w:rsid w:val="0041241B"/>
    <w:rsid w:val="00427441"/>
    <w:rsid w:val="00430E31"/>
    <w:rsid w:val="004403E6"/>
    <w:rsid w:val="004405D2"/>
    <w:rsid w:val="004411D8"/>
    <w:rsid w:val="00455528"/>
    <w:rsid w:val="00490E53"/>
    <w:rsid w:val="00492EC5"/>
    <w:rsid w:val="004B1216"/>
    <w:rsid w:val="004B2F14"/>
    <w:rsid w:val="004B3687"/>
    <w:rsid w:val="004B3E0C"/>
    <w:rsid w:val="004C62A3"/>
    <w:rsid w:val="004E47E2"/>
    <w:rsid w:val="004E6BE2"/>
    <w:rsid w:val="004F3C79"/>
    <w:rsid w:val="004F5FC6"/>
    <w:rsid w:val="005011C9"/>
    <w:rsid w:val="005369ED"/>
    <w:rsid w:val="0054486C"/>
    <w:rsid w:val="00546278"/>
    <w:rsid w:val="005468B1"/>
    <w:rsid w:val="00546FDD"/>
    <w:rsid w:val="00547ABB"/>
    <w:rsid w:val="005617EF"/>
    <w:rsid w:val="005668CE"/>
    <w:rsid w:val="00577E16"/>
    <w:rsid w:val="00591A35"/>
    <w:rsid w:val="00592AB4"/>
    <w:rsid w:val="00595678"/>
    <w:rsid w:val="005963E5"/>
    <w:rsid w:val="005A1A3D"/>
    <w:rsid w:val="005C0060"/>
    <w:rsid w:val="005D2FC3"/>
    <w:rsid w:val="005E4BA1"/>
    <w:rsid w:val="00607D64"/>
    <w:rsid w:val="006259A1"/>
    <w:rsid w:val="006416BA"/>
    <w:rsid w:val="00655FD6"/>
    <w:rsid w:val="00666BE1"/>
    <w:rsid w:val="006733A7"/>
    <w:rsid w:val="00675DD2"/>
    <w:rsid w:val="0068020F"/>
    <w:rsid w:val="00687A45"/>
    <w:rsid w:val="006C62FF"/>
    <w:rsid w:val="006D1448"/>
    <w:rsid w:val="006E0A4A"/>
    <w:rsid w:val="007063DD"/>
    <w:rsid w:val="00707E84"/>
    <w:rsid w:val="00716520"/>
    <w:rsid w:val="00740650"/>
    <w:rsid w:val="00746B38"/>
    <w:rsid w:val="00753651"/>
    <w:rsid w:val="007B6657"/>
    <w:rsid w:val="007C310A"/>
    <w:rsid w:val="007D251B"/>
    <w:rsid w:val="007D3BDB"/>
    <w:rsid w:val="007D5BA6"/>
    <w:rsid w:val="007E7F59"/>
    <w:rsid w:val="007F16BC"/>
    <w:rsid w:val="00813664"/>
    <w:rsid w:val="00817281"/>
    <w:rsid w:val="008223B2"/>
    <w:rsid w:val="0082392E"/>
    <w:rsid w:val="00824C38"/>
    <w:rsid w:val="008359F0"/>
    <w:rsid w:val="00861DB4"/>
    <w:rsid w:val="00891B98"/>
    <w:rsid w:val="008A58F7"/>
    <w:rsid w:val="008B10B2"/>
    <w:rsid w:val="008B259F"/>
    <w:rsid w:val="008B341D"/>
    <w:rsid w:val="008D20D2"/>
    <w:rsid w:val="008D5CBE"/>
    <w:rsid w:val="008D6DA8"/>
    <w:rsid w:val="008F0D9A"/>
    <w:rsid w:val="00911953"/>
    <w:rsid w:val="0091531D"/>
    <w:rsid w:val="00930ECD"/>
    <w:rsid w:val="00934E8D"/>
    <w:rsid w:val="00935978"/>
    <w:rsid w:val="0094095F"/>
    <w:rsid w:val="009474E4"/>
    <w:rsid w:val="00956702"/>
    <w:rsid w:val="009614DA"/>
    <w:rsid w:val="00964252"/>
    <w:rsid w:val="009717D3"/>
    <w:rsid w:val="009725D2"/>
    <w:rsid w:val="00986228"/>
    <w:rsid w:val="00996AB4"/>
    <w:rsid w:val="009A2E41"/>
    <w:rsid w:val="009B28ED"/>
    <w:rsid w:val="009B6CD8"/>
    <w:rsid w:val="009C03EB"/>
    <w:rsid w:val="009C0E81"/>
    <w:rsid w:val="009D6F90"/>
    <w:rsid w:val="00A35CE5"/>
    <w:rsid w:val="00A66CC8"/>
    <w:rsid w:val="00A733F1"/>
    <w:rsid w:val="00A8258D"/>
    <w:rsid w:val="00A96BE0"/>
    <w:rsid w:val="00AB3901"/>
    <w:rsid w:val="00AE6984"/>
    <w:rsid w:val="00AF1145"/>
    <w:rsid w:val="00AF40A1"/>
    <w:rsid w:val="00B04B5A"/>
    <w:rsid w:val="00B11A4F"/>
    <w:rsid w:val="00B12F1D"/>
    <w:rsid w:val="00B226E8"/>
    <w:rsid w:val="00B36857"/>
    <w:rsid w:val="00B37704"/>
    <w:rsid w:val="00B438FF"/>
    <w:rsid w:val="00B446B0"/>
    <w:rsid w:val="00B60166"/>
    <w:rsid w:val="00B66347"/>
    <w:rsid w:val="00B941C0"/>
    <w:rsid w:val="00BA2919"/>
    <w:rsid w:val="00BA3519"/>
    <w:rsid w:val="00BB5342"/>
    <w:rsid w:val="00C01ECD"/>
    <w:rsid w:val="00C15010"/>
    <w:rsid w:val="00C16633"/>
    <w:rsid w:val="00C16E2F"/>
    <w:rsid w:val="00C17519"/>
    <w:rsid w:val="00C3040F"/>
    <w:rsid w:val="00C33CBA"/>
    <w:rsid w:val="00C45E9E"/>
    <w:rsid w:val="00C46700"/>
    <w:rsid w:val="00C7273F"/>
    <w:rsid w:val="00C81F6B"/>
    <w:rsid w:val="00CA291A"/>
    <w:rsid w:val="00CB0D75"/>
    <w:rsid w:val="00CB2559"/>
    <w:rsid w:val="00CB3E3E"/>
    <w:rsid w:val="00CC5B71"/>
    <w:rsid w:val="00CD56E4"/>
    <w:rsid w:val="00CD5DEC"/>
    <w:rsid w:val="00CE3D90"/>
    <w:rsid w:val="00CE7EF8"/>
    <w:rsid w:val="00D00076"/>
    <w:rsid w:val="00D06F70"/>
    <w:rsid w:val="00D34DCC"/>
    <w:rsid w:val="00D53FEF"/>
    <w:rsid w:val="00D61CD8"/>
    <w:rsid w:val="00D70242"/>
    <w:rsid w:val="00D74E82"/>
    <w:rsid w:val="00D7758D"/>
    <w:rsid w:val="00D80AA1"/>
    <w:rsid w:val="00D86DB6"/>
    <w:rsid w:val="00DA1469"/>
    <w:rsid w:val="00DA6B2F"/>
    <w:rsid w:val="00DC12BB"/>
    <w:rsid w:val="00DD5F5E"/>
    <w:rsid w:val="00E058C1"/>
    <w:rsid w:val="00E116A2"/>
    <w:rsid w:val="00E15692"/>
    <w:rsid w:val="00E20FCD"/>
    <w:rsid w:val="00E441D6"/>
    <w:rsid w:val="00E53E16"/>
    <w:rsid w:val="00E83962"/>
    <w:rsid w:val="00E9620D"/>
    <w:rsid w:val="00EB292D"/>
    <w:rsid w:val="00EB694F"/>
    <w:rsid w:val="00EE19E6"/>
    <w:rsid w:val="00EE1F67"/>
    <w:rsid w:val="00EE53AC"/>
    <w:rsid w:val="00EE72B4"/>
    <w:rsid w:val="00EF4E02"/>
    <w:rsid w:val="00F0309B"/>
    <w:rsid w:val="00F03A8A"/>
    <w:rsid w:val="00F05D39"/>
    <w:rsid w:val="00F14320"/>
    <w:rsid w:val="00F27977"/>
    <w:rsid w:val="00F42D8B"/>
    <w:rsid w:val="00F53E14"/>
    <w:rsid w:val="00FA4771"/>
    <w:rsid w:val="00FB0E4E"/>
    <w:rsid w:val="00FB2B6A"/>
    <w:rsid w:val="00FC027F"/>
    <w:rsid w:val="00FC1463"/>
    <w:rsid w:val="00FD0B7E"/>
    <w:rsid w:val="00FD1353"/>
    <w:rsid w:val="00FD40D1"/>
    <w:rsid w:val="00FD566B"/>
    <w:rsid w:val="00FF5419"/>
    <w:rsid w:val="0560D7F6"/>
    <w:rsid w:val="0E4A594E"/>
    <w:rsid w:val="10CF71F4"/>
    <w:rsid w:val="10F838D1"/>
    <w:rsid w:val="1B4B7B42"/>
    <w:rsid w:val="3108E6F6"/>
    <w:rsid w:val="4A34216F"/>
    <w:rsid w:val="51098EBD"/>
    <w:rsid w:val="60D28991"/>
    <w:rsid w:val="6ACA4411"/>
    <w:rsid w:val="6B8FE31B"/>
    <w:rsid w:val="6F3A175C"/>
    <w:rsid w:val="797193F1"/>
    <w:rsid w:val="79BC226C"/>
    <w:rsid w:val="7C1F3D2E"/>
    <w:rsid w:val="7D190DE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oNotEmbedSmartTags/>
  <w:decimalSymbol w:val=","/>
  <w:listSeparator w:val=";"/>
  <w14:docId w14:val="7CFAF725"/>
  <w15:chartTrackingRefBased/>
  <w15:docId w15:val="{AAC7DE9E-673C-4F35-AB0D-80C73999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w:eastAsia="PMingLiU" w:hAnsi="Times" w:cs="Times"/>
      <w:lang w:val="en-AU" w:eastAsia="zh-TW"/>
    </w:rPr>
  </w:style>
  <w:style w:type="paragraph" w:styleId="Ttulo1">
    <w:name w:val="heading 1"/>
    <w:basedOn w:val="Normal"/>
    <w:next w:val="DefaultParagraphFont1"/>
    <w:qFormat/>
    <w:rsid w:val="000D636D"/>
    <w:pPr>
      <w:snapToGrid w:val="0"/>
      <w:spacing w:after="120"/>
      <w:ind w:firstLine="36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spacing w:before="240" w:after="60"/>
      <w:outlineLvl w:val="2"/>
    </w:pPr>
    <w:rPr>
      <w:b/>
      <w:bCs/>
      <w:sz w:val="24"/>
      <w:szCs w:val="24"/>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clear" w:pos="360"/>
        <w:tab w:val="num" w:pos="270"/>
      </w:tabs>
      <w:snapToGrid w:val="0"/>
      <w:ind w:left="270" w:hanging="27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rsid w:val="008D5CBE"/>
    <w:rPr>
      <w:rFonts w:ascii="Calibri" w:eastAsia="Times New Roman" w:hAnsi="Calibri" w:cs="Times New Roman"/>
      <w:b/>
      <w:bCs/>
      <w:i/>
      <w:iCs/>
      <w:sz w:val="26"/>
      <w:szCs w:val="26"/>
      <w:lang w:val="en-AU" w:eastAsia="zh-TW"/>
    </w:rPr>
  </w:style>
  <w:style w:type="character" w:styleId="Mencinsinresolver">
    <w:name w:val="Unresolved Mention"/>
    <w:uiPriority w:val="99"/>
    <w:semiHidden/>
    <w:unhideWhenUsed/>
    <w:rsid w:val="00680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92957">
      <w:bodyDiv w:val="1"/>
      <w:marLeft w:val="0"/>
      <w:marRight w:val="0"/>
      <w:marTop w:val="0"/>
      <w:marBottom w:val="0"/>
      <w:divBdr>
        <w:top w:val="none" w:sz="0" w:space="0" w:color="auto"/>
        <w:left w:val="none" w:sz="0" w:space="0" w:color="auto"/>
        <w:bottom w:val="none" w:sz="0" w:space="0" w:color="auto"/>
        <w:right w:val="none" w:sz="0" w:space="0" w:color="auto"/>
      </w:divBdr>
    </w:div>
    <w:div w:id="204679909">
      <w:bodyDiv w:val="1"/>
      <w:marLeft w:val="0"/>
      <w:marRight w:val="0"/>
      <w:marTop w:val="0"/>
      <w:marBottom w:val="0"/>
      <w:divBdr>
        <w:top w:val="none" w:sz="0" w:space="0" w:color="auto"/>
        <w:left w:val="none" w:sz="0" w:space="0" w:color="auto"/>
        <w:bottom w:val="none" w:sz="0" w:space="0" w:color="auto"/>
        <w:right w:val="none" w:sz="0" w:space="0" w:color="auto"/>
      </w:divBdr>
    </w:div>
    <w:div w:id="398095877">
      <w:bodyDiv w:val="1"/>
      <w:marLeft w:val="0"/>
      <w:marRight w:val="0"/>
      <w:marTop w:val="0"/>
      <w:marBottom w:val="0"/>
      <w:divBdr>
        <w:top w:val="none" w:sz="0" w:space="0" w:color="auto"/>
        <w:left w:val="none" w:sz="0" w:space="0" w:color="auto"/>
        <w:bottom w:val="none" w:sz="0" w:space="0" w:color="auto"/>
        <w:right w:val="none" w:sz="0" w:space="0" w:color="auto"/>
      </w:divBdr>
    </w:div>
    <w:div w:id="1220282739">
      <w:bodyDiv w:val="1"/>
      <w:marLeft w:val="0"/>
      <w:marRight w:val="0"/>
      <w:marTop w:val="0"/>
      <w:marBottom w:val="0"/>
      <w:divBdr>
        <w:top w:val="none" w:sz="0" w:space="0" w:color="auto"/>
        <w:left w:val="none" w:sz="0" w:space="0" w:color="auto"/>
        <w:bottom w:val="none" w:sz="0" w:space="0" w:color="auto"/>
        <w:right w:val="none" w:sz="0" w:space="0" w:color="auto"/>
      </w:divBdr>
    </w:div>
    <w:div w:id="203653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3067</Words>
  <Characters>16872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IEEE Conference Paper Template</vt:lpstr>
    </vt:vector>
  </TitlesOfParts>
  <Company>NTUME</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Laura Stella Vega Escobar</cp:lastModifiedBy>
  <cp:revision>10</cp:revision>
  <cp:lastPrinted>2024-08-06T18:16:00Z</cp:lastPrinted>
  <dcterms:created xsi:type="dcterms:W3CDTF">2026-02-16T20:55:00Z</dcterms:created>
  <dcterms:modified xsi:type="dcterms:W3CDTF">2026-02-16T21:09:00Z</dcterms:modified>
</cp:coreProperties>
</file>