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00578" w14:textId="77777777" w:rsidR="00CB1C27" w:rsidRDefault="0023486C">
      <w:pPr>
        <w:spacing w:before="160" w:after="80"/>
      </w:pPr>
      <w:r>
        <w:rPr>
          <w:rFonts w:eastAsia="Arial"/>
          <w:b/>
          <w:color w:val="2E74B5"/>
          <w:sz w:val="18"/>
        </w:rPr>
        <w:t>RESEARCH COLLABORATION | MEETING RECORD</w:t>
      </w:r>
    </w:p>
    <w:p w14:paraId="11BE889D" w14:textId="77777777" w:rsidR="00CB1C27" w:rsidRDefault="0023486C">
      <w:pPr>
        <w:pStyle w:val="MeetingTitle"/>
      </w:pPr>
      <w:r>
        <w:t>Meeting Outcome Brief</w:t>
      </w:r>
    </w:p>
    <w:p w14:paraId="558BB577" w14:textId="77777777" w:rsidR="00CB1C27" w:rsidRDefault="0023486C">
      <w:pPr>
        <w:keepNext/>
        <w:spacing w:after="240"/>
      </w:pPr>
      <w:r>
        <w:rPr>
          <w:rFonts w:eastAsia="Arial"/>
          <w:color w:val="5B6573"/>
          <w:sz w:val="25"/>
        </w:rPr>
        <w:t>Paper framing, P1-P2-P3 methodology, computational tests, and collaboration workflow</w:t>
      </w:r>
    </w:p>
    <w:tbl>
      <w:tblPr>
        <w:tblW w:w="9360" w:type="dxa"/>
        <w:tblInd w:w="120" w:type="dxa"/>
        <w:tblBorders>
          <w:top w:val="nil"/>
          <w:left w:val="nil"/>
          <w:bottom w:val="nil"/>
          <w:right w:val="nil"/>
          <w:insideH w:val="nil"/>
          <w:insideV w:val="nil"/>
        </w:tblBorders>
        <w:tblLayout w:type="fixed"/>
        <w:tblCellMar>
          <w:top w:w="80" w:type="dxa"/>
          <w:left w:w="120" w:type="dxa"/>
          <w:bottom w:w="80" w:type="dxa"/>
          <w:right w:w="120" w:type="dxa"/>
        </w:tblCellMar>
        <w:tblLook w:val="04A0" w:firstRow="1" w:lastRow="0" w:firstColumn="1" w:lastColumn="0" w:noHBand="0" w:noVBand="1"/>
      </w:tblPr>
      <w:tblGrid>
        <w:gridCol w:w="1450"/>
        <w:gridCol w:w="3230"/>
        <w:gridCol w:w="1350"/>
        <w:gridCol w:w="3330"/>
      </w:tblGrid>
      <w:tr w:rsidR="00CB1C27" w14:paraId="3CA08F8B" w14:textId="77777777">
        <w:trPr>
          <w:cantSplit/>
        </w:trPr>
        <w:tc>
          <w:tcPr>
            <w:tcW w:w="1450" w:type="dxa"/>
            <w:shd w:val="clear" w:color="auto" w:fill="F2F4F7"/>
            <w:tcMar>
              <w:top w:w="80" w:type="dxa"/>
              <w:left w:w="120" w:type="dxa"/>
              <w:bottom w:w="80" w:type="dxa"/>
              <w:right w:w="120" w:type="dxa"/>
            </w:tcMar>
            <w:vAlign w:val="center"/>
          </w:tcPr>
          <w:p w14:paraId="6BBD8C8A" w14:textId="77777777" w:rsidR="00CB1C27" w:rsidRDefault="0023486C">
            <w:pPr>
              <w:spacing w:after="0" w:line="252" w:lineRule="auto"/>
            </w:pPr>
            <w:r>
              <w:rPr>
                <w:rFonts w:eastAsia="Arial"/>
                <w:b/>
                <w:color w:val="1F4D78"/>
                <w:sz w:val="18"/>
              </w:rPr>
              <w:t>Meeting</w:t>
            </w:r>
          </w:p>
        </w:tc>
        <w:tc>
          <w:tcPr>
            <w:tcW w:w="3230" w:type="dxa"/>
            <w:tcMar>
              <w:top w:w="80" w:type="dxa"/>
              <w:left w:w="120" w:type="dxa"/>
              <w:bottom w:w="80" w:type="dxa"/>
              <w:right w:w="120" w:type="dxa"/>
            </w:tcMar>
            <w:vAlign w:val="center"/>
          </w:tcPr>
          <w:p w14:paraId="61C58311" w14:textId="77777777" w:rsidR="00CB1C27" w:rsidRDefault="0023486C">
            <w:pPr>
              <w:spacing w:after="0" w:line="252" w:lineRule="auto"/>
            </w:pPr>
            <w:r>
              <w:rPr>
                <w:rFonts w:eastAsia="Arial"/>
                <w:sz w:val="19"/>
              </w:rPr>
              <w:t>Tulio-Nacho Follow-up</w:t>
            </w:r>
          </w:p>
        </w:tc>
        <w:tc>
          <w:tcPr>
            <w:tcW w:w="1350" w:type="dxa"/>
            <w:shd w:val="clear" w:color="auto" w:fill="F2F4F7"/>
            <w:tcMar>
              <w:top w:w="80" w:type="dxa"/>
              <w:left w:w="120" w:type="dxa"/>
              <w:bottom w:w="80" w:type="dxa"/>
              <w:right w:w="120" w:type="dxa"/>
            </w:tcMar>
            <w:vAlign w:val="center"/>
          </w:tcPr>
          <w:p w14:paraId="7142039B" w14:textId="77777777" w:rsidR="00CB1C27" w:rsidRDefault="0023486C">
            <w:pPr>
              <w:spacing w:after="0" w:line="252" w:lineRule="auto"/>
            </w:pPr>
            <w:r>
              <w:rPr>
                <w:rFonts w:eastAsia="Arial"/>
                <w:b/>
                <w:color w:val="1F4D78"/>
                <w:sz w:val="18"/>
              </w:rPr>
              <w:t>Date</w:t>
            </w:r>
          </w:p>
        </w:tc>
        <w:tc>
          <w:tcPr>
            <w:tcW w:w="3330" w:type="dxa"/>
            <w:tcMar>
              <w:top w:w="80" w:type="dxa"/>
              <w:left w:w="120" w:type="dxa"/>
              <w:bottom w:w="80" w:type="dxa"/>
              <w:right w:w="120" w:type="dxa"/>
            </w:tcMar>
            <w:vAlign w:val="center"/>
          </w:tcPr>
          <w:p w14:paraId="0C9148BF" w14:textId="77777777" w:rsidR="00CB1C27" w:rsidRDefault="0023486C">
            <w:pPr>
              <w:spacing w:after="0" w:line="252" w:lineRule="auto"/>
            </w:pPr>
            <w:r>
              <w:rPr>
                <w:rFonts w:eastAsia="Arial"/>
                <w:sz w:val="19"/>
              </w:rPr>
              <w:t>13 August 2026</w:t>
            </w:r>
          </w:p>
        </w:tc>
      </w:tr>
      <w:tr w:rsidR="00CB1C27" w14:paraId="73E48BAB" w14:textId="77777777">
        <w:trPr>
          <w:cantSplit/>
        </w:trPr>
        <w:tc>
          <w:tcPr>
            <w:tcW w:w="1450" w:type="dxa"/>
            <w:shd w:val="clear" w:color="auto" w:fill="F2F4F7"/>
            <w:tcMar>
              <w:top w:w="80" w:type="dxa"/>
              <w:left w:w="120" w:type="dxa"/>
              <w:bottom w:w="80" w:type="dxa"/>
              <w:right w:w="120" w:type="dxa"/>
            </w:tcMar>
            <w:vAlign w:val="center"/>
          </w:tcPr>
          <w:p w14:paraId="76AF9E43" w14:textId="77777777" w:rsidR="00CB1C27" w:rsidRDefault="0023486C">
            <w:pPr>
              <w:spacing w:after="0" w:line="252" w:lineRule="auto"/>
            </w:pPr>
            <w:r>
              <w:rPr>
                <w:rFonts w:eastAsia="Arial"/>
                <w:b/>
                <w:color w:val="1F4D78"/>
                <w:sz w:val="18"/>
              </w:rPr>
              <w:t>Participants</w:t>
            </w:r>
          </w:p>
        </w:tc>
        <w:tc>
          <w:tcPr>
            <w:tcW w:w="3230" w:type="dxa"/>
            <w:tcMar>
              <w:top w:w="80" w:type="dxa"/>
              <w:left w:w="120" w:type="dxa"/>
              <w:bottom w:w="80" w:type="dxa"/>
              <w:right w:w="120" w:type="dxa"/>
            </w:tcMar>
            <w:vAlign w:val="center"/>
          </w:tcPr>
          <w:p w14:paraId="4A575737" w14:textId="77777777" w:rsidR="00CB1C27" w:rsidRDefault="0023486C">
            <w:pPr>
              <w:spacing w:after="0" w:line="252" w:lineRule="auto"/>
            </w:pPr>
            <w:r>
              <w:rPr>
                <w:rFonts w:eastAsia="Arial"/>
                <w:sz w:val="19"/>
              </w:rPr>
              <w:t>Tulio Coelho Coura; Ignacio Pérez Ortiz</w:t>
            </w:r>
          </w:p>
        </w:tc>
        <w:tc>
          <w:tcPr>
            <w:tcW w:w="1350" w:type="dxa"/>
            <w:shd w:val="clear" w:color="auto" w:fill="F2F4F7"/>
            <w:tcMar>
              <w:top w:w="80" w:type="dxa"/>
              <w:left w:w="120" w:type="dxa"/>
              <w:bottom w:w="80" w:type="dxa"/>
              <w:right w:w="120" w:type="dxa"/>
            </w:tcMar>
            <w:vAlign w:val="center"/>
          </w:tcPr>
          <w:p w14:paraId="13B9C1F5" w14:textId="77777777" w:rsidR="00CB1C27" w:rsidRDefault="0023486C">
            <w:pPr>
              <w:spacing w:after="0" w:line="252" w:lineRule="auto"/>
            </w:pPr>
            <w:r>
              <w:rPr>
                <w:rFonts w:eastAsia="Arial"/>
                <w:b/>
                <w:color w:val="1F4D78"/>
                <w:sz w:val="18"/>
              </w:rPr>
              <w:t>Duration</w:t>
            </w:r>
          </w:p>
        </w:tc>
        <w:tc>
          <w:tcPr>
            <w:tcW w:w="3330" w:type="dxa"/>
            <w:tcMar>
              <w:top w:w="80" w:type="dxa"/>
              <w:left w:w="120" w:type="dxa"/>
              <w:bottom w:w="80" w:type="dxa"/>
              <w:right w:w="120" w:type="dxa"/>
            </w:tcMar>
            <w:vAlign w:val="center"/>
          </w:tcPr>
          <w:p w14:paraId="585299D6" w14:textId="77777777" w:rsidR="00CB1C27" w:rsidRDefault="0023486C">
            <w:pPr>
              <w:spacing w:after="0" w:line="252" w:lineRule="auto"/>
            </w:pPr>
            <w:r>
              <w:rPr>
                <w:rFonts w:eastAsia="Arial"/>
                <w:sz w:val="19"/>
              </w:rPr>
              <w:t>27 min 6 s</w:t>
            </w:r>
          </w:p>
        </w:tc>
      </w:tr>
      <w:tr w:rsidR="00CB1C27" w14:paraId="1251B995" w14:textId="77777777">
        <w:trPr>
          <w:cantSplit/>
        </w:trPr>
        <w:tc>
          <w:tcPr>
            <w:tcW w:w="1450" w:type="dxa"/>
            <w:shd w:val="clear" w:color="auto" w:fill="F2F4F7"/>
            <w:tcMar>
              <w:top w:w="80" w:type="dxa"/>
              <w:left w:w="120" w:type="dxa"/>
              <w:bottom w:w="80" w:type="dxa"/>
              <w:right w:w="120" w:type="dxa"/>
            </w:tcMar>
            <w:vAlign w:val="center"/>
          </w:tcPr>
          <w:p w14:paraId="21CF12AA" w14:textId="77777777" w:rsidR="00CB1C27" w:rsidRDefault="0023486C">
            <w:pPr>
              <w:spacing w:after="0" w:line="252" w:lineRule="auto"/>
            </w:pPr>
            <w:r>
              <w:rPr>
                <w:rFonts w:eastAsia="Arial"/>
                <w:b/>
                <w:color w:val="1F4D78"/>
                <w:sz w:val="18"/>
              </w:rPr>
              <w:t>Purpose</w:t>
            </w:r>
          </w:p>
        </w:tc>
        <w:tc>
          <w:tcPr>
            <w:tcW w:w="3230" w:type="dxa"/>
            <w:tcMar>
              <w:top w:w="80" w:type="dxa"/>
              <w:left w:w="120" w:type="dxa"/>
              <w:bottom w:w="80" w:type="dxa"/>
              <w:right w:w="120" w:type="dxa"/>
            </w:tcMar>
            <w:vAlign w:val="center"/>
          </w:tcPr>
          <w:p w14:paraId="200BBAD5" w14:textId="77777777" w:rsidR="00CB1C27" w:rsidRDefault="0023486C">
            <w:pPr>
              <w:spacing w:after="0" w:line="252" w:lineRule="auto"/>
            </w:pPr>
            <w:r>
              <w:rPr>
                <w:rFonts w:eastAsia="Arial"/>
                <w:sz w:val="19"/>
              </w:rPr>
              <w:t>Align the introduction, methodology, computational tests, and collaboration workflow</w:t>
            </w:r>
          </w:p>
        </w:tc>
        <w:tc>
          <w:tcPr>
            <w:tcW w:w="1350" w:type="dxa"/>
            <w:shd w:val="clear" w:color="auto" w:fill="F2F4F7"/>
            <w:tcMar>
              <w:top w:w="80" w:type="dxa"/>
              <w:left w:w="120" w:type="dxa"/>
              <w:bottom w:w="80" w:type="dxa"/>
              <w:right w:w="120" w:type="dxa"/>
            </w:tcMar>
            <w:vAlign w:val="center"/>
          </w:tcPr>
          <w:p w14:paraId="7D0B4442" w14:textId="77777777" w:rsidR="00CB1C27" w:rsidRDefault="0023486C">
            <w:pPr>
              <w:spacing w:after="0" w:line="252" w:lineRule="auto"/>
            </w:pPr>
            <w:r>
              <w:rPr>
                <w:rFonts w:eastAsia="Arial"/>
                <w:b/>
                <w:color w:val="1F4D78"/>
                <w:sz w:val="18"/>
              </w:rPr>
              <w:t>Status</w:t>
            </w:r>
          </w:p>
        </w:tc>
        <w:tc>
          <w:tcPr>
            <w:tcW w:w="3330" w:type="dxa"/>
            <w:tcMar>
              <w:top w:w="80" w:type="dxa"/>
              <w:left w:w="120" w:type="dxa"/>
              <w:bottom w:w="80" w:type="dxa"/>
              <w:right w:w="120" w:type="dxa"/>
            </w:tcMar>
            <w:vAlign w:val="center"/>
          </w:tcPr>
          <w:p w14:paraId="344691BC" w14:textId="77777777" w:rsidR="00CB1C27" w:rsidRDefault="0023486C">
            <w:pPr>
              <w:spacing w:after="0" w:line="252" w:lineRule="auto"/>
            </w:pPr>
            <w:r>
              <w:rPr>
                <w:rFonts w:eastAsia="Arial"/>
                <w:sz w:val="19"/>
              </w:rPr>
              <w:t>Agreed follow-up plan</w:t>
            </w:r>
          </w:p>
        </w:tc>
      </w:tr>
    </w:tbl>
    <w:p w14:paraId="64494C43" w14:textId="77777777" w:rsidR="00CB1C27" w:rsidRDefault="00CB1C27">
      <w:pPr>
        <w:pBdr>
          <w:bottom w:val="single" w:sz="12" w:space="4" w:color="2E74B5"/>
        </w:pBdr>
        <w:spacing w:before="140" w:after="100"/>
      </w:pPr>
    </w:p>
    <w:p w14:paraId="6AFF9CF3" w14:textId="77777777" w:rsidR="00CB1C27" w:rsidRDefault="0023486C">
      <w:pPr>
        <w:pStyle w:val="Heading1"/>
      </w:pPr>
      <w:r>
        <w:t>Executive Summary</w:t>
      </w:r>
    </w:p>
    <w:p w14:paraId="6B3504B8" w14:textId="77777777" w:rsidR="00CB1C27" w:rsidRDefault="0023486C">
      <w:r>
        <w:rPr>
          <w:rFonts w:eastAsia="Arial"/>
        </w:rPr>
        <w:t xml:space="preserve">The meeting aligned the manuscript around a clearer technical storyline and a sharper </w:t>
      </w:r>
      <w:r>
        <w:rPr>
          <w:rFonts w:eastAsia="Arial"/>
        </w:rPr>
        <w:t>contribution relative to prior work. The introduction is now considered structurally closer to an IEEE Transactions on Smart Grid paper, but it must more explicitly separate fairness in free-use operating envelopes from fairness-aware disaggregation of a s</w:t>
      </w:r>
      <w:r>
        <w:rPr>
          <w:rFonts w:eastAsia="Arial"/>
        </w:rPr>
        <w:t>pecific service request selected by the TSO. The methodology will be organized as P1 (self-consumption), P2 (FOR computation), and P3 (fairness-aware disaggregation and validation).</w:t>
      </w:r>
    </w:p>
    <w:p w14:paraId="6C02FD27" w14:textId="77777777" w:rsidR="00CB1C27" w:rsidRDefault="0023486C">
      <w:r>
        <w:rPr>
          <w:rFonts w:eastAsia="Arial"/>
        </w:rPr>
        <w:t>A parallel computational plan was agreed. The team will quantify the speed</w:t>
      </w:r>
      <w:r>
        <w:rPr>
          <w:rFonts w:eastAsia="Arial"/>
        </w:rPr>
        <w:t>-up obtained from transformer-by-transformer runs, test Luis's suggestion to deactivate selected constraints in the generated optimization matrix, and benchmark the complete-feeder rolling horizon. These results will determine whether the final implementat</w:t>
      </w:r>
      <w:r>
        <w:rPr>
          <w:rFonts w:eastAsia="Arial"/>
        </w:rPr>
        <w:t>ion can run on the complete feeder without supercomputing resources or feeder decomposition.</w:t>
      </w:r>
    </w:p>
    <w:tbl>
      <w:tblPr>
        <w:tblW w:w="9360" w:type="dxa"/>
        <w:tblInd w:w="180" w:type="dxa"/>
        <w:tblBorders>
          <w:top w:val="nil"/>
          <w:left w:val="nil"/>
          <w:bottom w:val="nil"/>
          <w:right w:val="nil"/>
          <w:insideH w:val="nil"/>
          <w:insideV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CB1C27" w14:paraId="021137AE" w14:textId="77777777">
        <w:trPr>
          <w:cantSplit/>
        </w:trPr>
        <w:tc>
          <w:tcPr>
            <w:tcW w:w="9360" w:type="dxa"/>
            <w:tcBorders>
              <w:left w:val="single" w:sz="20" w:space="0" w:color="2E74B5"/>
            </w:tcBorders>
            <w:shd w:val="clear" w:color="auto" w:fill="E8EEF5"/>
            <w:tcMar>
              <w:top w:w="140" w:type="dxa"/>
              <w:left w:w="180" w:type="dxa"/>
              <w:bottom w:w="140" w:type="dxa"/>
              <w:right w:w="180" w:type="dxa"/>
            </w:tcMar>
          </w:tcPr>
          <w:p w14:paraId="49B6BA2D" w14:textId="77777777" w:rsidR="00CB1C27" w:rsidRDefault="0023486C">
            <w:pPr>
              <w:spacing w:after="0" w:line="276" w:lineRule="auto"/>
            </w:pPr>
            <w:r>
              <w:rPr>
                <w:rFonts w:eastAsia="Arial"/>
                <w:b/>
                <w:color w:val="2E74B5"/>
                <w:sz w:val="19"/>
              </w:rPr>
              <w:t xml:space="preserve">CENTRAL OUTCOME  </w:t>
            </w:r>
            <w:r>
              <w:rPr>
                <w:rFonts w:eastAsia="Arial"/>
                <w:b/>
                <w:color w:val="0B2545"/>
              </w:rPr>
              <w:t xml:space="preserve">Use self-consumption to establish the operating trajectory (P1), compute the grid-feasible flexibility available at the PCC (P2), and fairly </w:t>
            </w:r>
            <w:r>
              <w:rPr>
                <w:rFonts w:eastAsia="Arial"/>
                <w:b/>
                <w:color w:val="0B2545"/>
              </w:rPr>
              <w:t>disaggregate a TSO-selected feasible service point among aggregators and prosumers (P3), with empirical validation across sampled requests.</w:t>
            </w:r>
          </w:p>
        </w:tc>
      </w:tr>
    </w:tbl>
    <w:p w14:paraId="6991ADD4" w14:textId="77777777" w:rsidR="00CB1C27" w:rsidRDefault="00CB1C27">
      <w:pPr>
        <w:spacing w:after="60"/>
      </w:pPr>
    </w:p>
    <w:p w14:paraId="14C690E3" w14:textId="77777777" w:rsidR="00CB1C27" w:rsidRDefault="0023486C">
      <w:pPr>
        <w:pStyle w:val="Heading1"/>
      </w:pPr>
      <w:r>
        <w:t>1. Agreed Paper Narrative and Research Gap</w:t>
      </w:r>
    </w:p>
    <w:p w14:paraId="20B10A0A" w14:textId="77777777" w:rsidR="00CB1C27" w:rsidRDefault="0023486C">
      <w:r>
        <w:rPr>
          <w:rFonts w:eastAsia="Arial"/>
        </w:rPr>
        <w:t>The current introduction should be retained as the main foundation. Nac</w:t>
      </w:r>
      <w:r>
        <w:rPr>
          <w:rFonts w:eastAsia="Arial"/>
        </w:rPr>
        <w:t>ho considered its literature review and overall storytelling substantially stronger than the earlier version and consistent with the style of comparable Transactions papers. The next revision should focus on differentiation, not a complete rewrite.</w:t>
      </w:r>
    </w:p>
    <w:p w14:paraId="42DAF69A" w14:textId="77777777" w:rsidR="00CB1C27" w:rsidRDefault="0023486C">
      <w:pPr>
        <w:pStyle w:val="Heading2"/>
      </w:pPr>
      <w:r>
        <w:lastRenderedPageBreak/>
        <w:t>1.1 Dis</w:t>
      </w:r>
      <w:r>
        <w:t>tinguish Two Disaggregation Contexts</w:t>
      </w:r>
    </w:p>
    <w:p w14:paraId="65334B08" w14:textId="77777777" w:rsidR="00CB1C27" w:rsidRDefault="0023486C">
      <w:pPr>
        <w:numPr>
          <w:ilvl w:val="0"/>
          <w:numId w:val="1"/>
        </w:numPr>
      </w:pPr>
      <w:r>
        <w:rPr>
          <w:rFonts w:eastAsia="Arial"/>
          <w:b/>
          <w:sz w:val="21"/>
        </w:rPr>
        <w:t>Free-use flexibility:</w:t>
      </w:r>
      <w:r>
        <w:rPr>
          <w:rFonts w:eastAsia="Arial"/>
          <w:sz w:val="21"/>
        </w:rPr>
        <w:t xml:space="preserve"> DOE, PDOE, and P-Q DOE approaches define feasible boundaries within which users retain discretion over their operation. Fairness is commonly studied when allocating these envelopes.</w:t>
      </w:r>
    </w:p>
    <w:p w14:paraId="7BD270FB" w14:textId="77777777" w:rsidR="00CB1C27" w:rsidRDefault="0023486C">
      <w:pPr>
        <w:numPr>
          <w:ilvl w:val="0"/>
          <w:numId w:val="1"/>
        </w:numPr>
      </w:pPr>
      <w:r>
        <w:rPr>
          <w:rFonts w:eastAsia="Arial"/>
          <w:b/>
          <w:sz w:val="21"/>
        </w:rPr>
        <w:t xml:space="preserve">Requested </w:t>
      </w:r>
      <w:r>
        <w:rPr>
          <w:rFonts w:eastAsia="Arial"/>
          <w:b/>
          <w:sz w:val="21"/>
        </w:rPr>
        <w:t>service:</w:t>
      </w:r>
      <w:r>
        <w:rPr>
          <w:rFonts w:eastAsia="Arial"/>
          <w:sz w:val="21"/>
        </w:rPr>
        <w:t xml:space="preserve"> once the TSO selects a specific point from the aggregate flexibility region, that request must be converted into feasible device- or participant-level dispatch. The manuscript should emphasize fairness at this service-delivery stage.</w:t>
      </w:r>
    </w:p>
    <w:p w14:paraId="53454FC8" w14:textId="77777777" w:rsidR="00CB1C27" w:rsidRDefault="0023486C">
      <w:pPr>
        <w:numPr>
          <w:ilvl w:val="0"/>
          <w:numId w:val="1"/>
        </w:numPr>
      </w:pPr>
      <w:r>
        <w:rPr>
          <w:rFonts w:eastAsia="Arial"/>
          <w:b/>
          <w:sz w:val="21"/>
        </w:rPr>
        <w:t>Proposed gap:</w:t>
      </w:r>
      <w:r>
        <w:rPr>
          <w:rFonts w:eastAsia="Arial"/>
          <w:sz w:val="21"/>
        </w:rPr>
        <w:t xml:space="preserve"> existing fairness work is concentrated on the allocation of operating envelopes or unconstrained user flexibility; comparatively less attention has been given to fairly disaggregating an activated P-Q service point while preserving distribution-network an</w:t>
      </w:r>
      <w:r>
        <w:rPr>
          <w:rFonts w:eastAsia="Arial"/>
          <w:sz w:val="21"/>
        </w:rPr>
        <w:t>d intertemporal feasibility.</w:t>
      </w:r>
    </w:p>
    <w:p w14:paraId="25129C93" w14:textId="77777777" w:rsidR="00CB1C27" w:rsidRDefault="0023486C">
      <w:pPr>
        <w:spacing w:before="80" w:after="80" w:line="252" w:lineRule="auto"/>
      </w:pPr>
      <w:r>
        <w:rPr>
          <w:rFonts w:eastAsia="Arial"/>
          <w:b/>
          <w:color w:val="5B6573"/>
          <w:sz w:val="18"/>
        </w:rPr>
        <w:t xml:space="preserve">Writing implication: </w:t>
      </w:r>
      <w:r>
        <w:rPr>
          <w:rFonts w:eastAsia="Arial"/>
          <w:i/>
          <w:color w:val="5B6573"/>
          <w:sz w:val="18"/>
        </w:rPr>
        <w:t>DOE concepts should remain as a contrast to the literature, not as an output claimed by the proposed method.</w:t>
      </w:r>
    </w:p>
    <w:p w14:paraId="560D82FA" w14:textId="77777777" w:rsidR="00CB1C27" w:rsidRDefault="0023486C">
      <w:pPr>
        <w:pStyle w:val="Heading2"/>
      </w:pPr>
      <w:r>
        <w:t>1.2 Strengthen the Multi-Period Positioning</w:t>
      </w:r>
    </w:p>
    <w:p w14:paraId="5F6686E9" w14:textId="77777777" w:rsidR="00CB1C27" w:rsidRDefault="0023486C">
      <w:r>
        <w:rPr>
          <w:rFonts w:eastAsia="Arial"/>
        </w:rPr>
        <w:t>The introduction should explain that BESS decisions i</w:t>
      </w:r>
      <w:r>
        <w:rPr>
          <w:rFonts w:eastAsia="Arial"/>
        </w:rPr>
        <w:t xml:space="preserve">n the current 30-minute interval change the state of charge and therefore the flexibility that can be offered in the next interval. The literature review must connect rolling-horizon or multi-period FOR construction with fairness and multiple aggregators, </w:t>
      </w:r>
      <w:r>
        <w:rPr>
          <w:rFonts w:eastAsia="Arial"/>
        </w:rPr>
        <w:t>because this intersection is the most relevant point of differentiation.</w:t>
      </w:r>
    </w:p>
    <w:p w14:paraId="7B528D88" w14:textId="77777777" w:rsidR="00CB1C27" w:rsidRDefault="0023486C">
      <w:pPr>
        <w:numPr>
          <w:ilvl w:val="0"/>
          <w:numId w:val="1"/>
        </w:numPr>
      </w:pPr>
      <w:r>
        <w:rPr>
          <w:rFonts w:eastAsia="Arial"/>
          <w:sz w:val="21"/>
        </w:rPr>
        <w:t>Retain the working literature table for internal organization, but remove it from the manuscript.</w:t>
      </w:r>
    </w:p>
    <w:p w14:paraId="290C8209" w14:textId="77777777" w:rsidR="00CB1C27" w:rsidRPr="00A5763F" w:rsidRDefault="0023486C">
      <w:pPr>
        <w:numPr>
          <w:ilvl w:val="0"/>
          <w:numId w:val="1"/>
        </w:numPr>
        <w:rPr>
          <w:b/>
          <w:bCs/>
        </w:rPr>
      </w:pPr>
      <w:r w:rsidRPr="00A5763F">
        <w:rPr>
          <w:rFonts w:eastAsia="Arial"/>
          <w:b/>
          <w:bCs/>
          <w:sz w:val="21"/>
        </w:rPr>
        <w:t>Build complementary must-cite lists: Tulio for FOR and multi-period flexibility; Nach</w:t>
      </w:r>
      <w:r w:rsidRPr="00A5763F">
        <w:rPr>
          <w:rFonts w:eastAsia="Arial"/>
          <w:b/>
          <w:bCs/>
          <w:sz w:val="21"/>
        </w:rPr>
        <w:t>o for fairness and multiple aggregators.</w:t>
      </w:r>
    </w:p>
    <w:p w14:paraId="5FE54ED6" w14:textId="77777777" w:rsidR="00CB1C27" w:rsidRDefault="0023486C">
      <w:pPr>
        <w:numPr>
          <w:ilvl w:val="0"/>
          <w:numId w:val="1"/>
        </w:numPr>
      </w:pPr>
      <w:r>
        <w:rPr>
          <w:rFonts w:eastAsia="Arial"/>
          <w:sz w:val="21"/>
        </w:rPr>
        <w:t>Use approximately 35-45 references across the complete paper as a planning benchmark, subject to relevance rather than a fixed quota.</w:t>
      </w:r>
    </w:p>
    <w:p w14:paraId="7B0E5117" w14:textId="77777777" w:rsidR="00CB1C27" w:rsidRDefault="0023486C">
      <w:pPr>
        <w:numPr>
          <w:ilvl w:val="0"/>
          <w:numId w:val="1"/>
        </w:numPr>
      </w:pPr>
      <w:r>
        <w:rPr>
          <w:rFonts w:eastAsia="Arial"/>
          <w:sz w:val="21"/>
        </w:rPr>
        <w:t xml:space="preserve">Review Nacho's presentation/PDF as a visual and conceptual source for </w:t>
      </w:r>
      <w:r>
        <w:rPr>
          <w:rFonts w:eastAsia="Arial"/>
          <w:sz w:val="21"/>
        </w:rPr>
        <w:t>revising the introduction and methodology.</w:t>
      </w:r>
    </w:p>
    <w:p w14:paraId="6F49C807" w14:textId="77777777" w:rsidR="00CB1C27" w:rsidRDefault="0023486C">
      <w:pPr>
        <w:pStyle w:val="Heading1"/>
      </w:pPr>
      <w:r>
        <w:t>2. Agreed Methodological Structure</w:t>
      </w:r>
    </w:p>
    <w:p w14:paraId="7C8BAB4D" w14:textId="77777777" w:rsidR="00CB1C27" w:rsidRDefault="0023486C">
      <w:r>
        <w:rPr>
          <w:rFonts w:eastAsia="Arial"/>
        </w:rPr>
        <w:t>The paper will use a three-part structure that follows the chronological decision process and gives the fairness contribution a distinct methodological role.</w:t>
      </w:r>
    </w:p>
    <w:p w14:paraId="1537A56E" w14:textId="77777777" w:rsidR="00CB1C27" w:rsidRDefault="0023486C">
      <w:pPr>
        <w:keepLines/>
        <w:spacing w:before="80" w:after="100" w:line="269" w:lineRule="auto"/>
      </w:pPr>
      <w:r>
        <w:rPr>
          <w:rFonts w:eastAsia="Arial"/>
          <w:b/>
          <w:color w:val="FFFFFF"/>
          <w:sz w:val="19"/>
          <w:shd w:val="clear" w:color="auto" w:fill="2E74B5"/>
        </w:rPr>
        <w:t xml:space="preserve"> P1 </w:t>
      </w:r>
      <w:r>
        <w:rPr>
          <w:rFonts w:eastAsia="Arial"/>
          <w:b/>
          <w:color w:val="0B2545"/>
        </w:rPr>
        <w:t xml:space="preserve">  Self-consumpti</w:t>
      </w:r>
      <w:r>
        <w:rPr>
          <w:rFonts w:eastAsia="Arial"/>
          <w:b/>
          <w:color w:val="0B2545"/>
        </w:rPr>
        <w:t xml:space="preserve">on baseline. </w:t>
      </w:r>
      <w:r>
        <w:rPr>
          <w:rFonts w:eastAsia="Arial"/>
          <w:sz w:val="21"/>
        </w:rPr>
        <w:t>Determine the operating trajectory used as the starting point of the rolling horizon. The executed BESS action fixes the state from which future flexibility is evaluated.</w:t>
      </w:r>
    </w:p>
    <w:p w14:paraId="12D23B90" w14:textId="77777777" w:rsidR="00CB1C27" w:rsidRDefault="0023486C">
      <w:pPr>
        <w:keepLines/>
        <w:spacing w:before="80" w:after="100" w:line="269" w:lineRule="auto"/>
      </w:pPr>
      <w:r>
        <w:rPr>
          <w:rFonts w:eastAsia="Arial"/>
          <w:b/>
          <w:color w:val="FFFFFF"/>
          <w:sz w:val="19"/>
          <w:shd w:val="clear" w:color="auto" w:fill="2E74B5"/>
        </w:rPr>
        <w:t xml:space="preserve"> P2 </w:t>
      </w:r>
      <w:r>
        <w:rPr>
          <w:rFonts w:eastAsia="Arial"/>
          <w:b/>
          <w:color w:val="0B2545"/>
        </w:rPr>
        <w:t xml:space="preserve">  Feasible Operation Region. </w:t>
      </w:r>
      <w:r>
        <w:rPr>
          <w:rFonts w:eastAsia="Arial"/>
          <w:sz w:val="21"/>
        </w:rPr>
        <w:t>Compute the network-feasible P-Q flexib</w:t>
      </w:r>
      <w:r>
        <w:rPr>
          <w:rFonts w:eastAsia="Arial"/>
          <w:sz w:val="21"/>
        </w:rPr>
        <w:t>ility available at the PCC for the service interval, subject to distribution constraints and the BESS state inherited from P1.</w:t>
      </w:r>
    </w:p>
    <w:p w14:paraId="2643CB8C" w14:textId="77777777" w:rsidR="00CB1C27" w:rsidRDefault="0023486C">
      <w:pPr>
        <w:keepLines/>
        <w:spacing w:before="80" w:after="100" w:line="269" w:lineRule="auto"/>
      </w:pPr>
      <w:r>
        <w:rPr>
          <w:rFonts w:eastAsia="Arial"/>
          <w:b/>
          <w:color w:val="FFFFFF"/>
          <w:sz w:val="19"/>
          <w:shd w:val="clear" w:color="auto" w:fill="2E74B5"/>
        </w:rPr>
        <w:t xml:space="preserve"> P3 </w:t>
      </w:r>
      <w:r>
        <w:rPr>
          <w:rFonts w:eastAsia="Arial"/>
          <w:b/>
          <w:color w:val="0B2545"/>
        </w:rPr>
        <w:t xml:space="preserve">  Fairness-aware disaggregation. </w:t>
      </w:r>
      <w:r>
        <w:rPr>
          <w:rFonts w:eastAsia="Arial"/>
          <w:sz w:val="21"/>
        </w:rPr>
        <w:t>Given a feasible service point requested by the TSO, allocate and dispatch the response amon</w:t>
      </w:r>
      <w:r>
        <w:rPr>
          <w:rFonts w:eastAsia="Arial"/>
          <w:sz w:val="21"/>
        </w:rPr>
        <w:t>g aggregators and prosumers while preserving feasibility and evaluating fairness.</w:t>
      </w:r>
    </w:p>
    <w:p w14:paraId="11E4713C" w14:textId="77777777" w:rsidR="00CB1C27" w:rsidRDefault="0023486C">
      <w:pPr>
        <w:pStyle w:val="Heading2"/>
      </w:pPr>
      <w:r>
        <w:lastRenderedPageBreak/>
        <w:t>2.1 Proposed Validation for P3</w:t>
      </w:r>
    </w:p>
    <w:p w14:paraId="03D8C731" w14:textId="77777777" w:rsidR="00CB1C27" w:rsidRDefault="0023486C">
      <w:r>
        <w:rPr>
          <w:rFonts w:eastAsia="Arial"/>
        </w:rPr>
        <w:t>Nacho proposed testing multiple randomly or stochastically selected points from the service region. This would show whether TSO requests identi</w:t>
      </w:r>
      <w:r>
        <w:rPr>
          <w:rFonts w:eastAsia="Arial"/>
        </w:rPr>
        <w:t>fied as feasible by P2 can be implemented through P3 and would provide empirical evidence on the reliability and fairness of the disaggregation. The exact sampling design, statistical metric, and confidence criterion remain to be defined.</w:t>
      </w:r>
    </w:p>
    <w:p w14:paraId="2E5E65B7" w14:textId="77777777" w:rsidR="00CB1C27" w:rsidRDefault="0023486C">
      <w:pPr>
        <w:numPr>
          <w:ilvl w:val="0"/>
          <w:numId w:val="1"/>
        </w:numPr>
      </w:pPr>
      <w:r>
        <w:rPr>
          <w:rFonts w:eastAsia="Arial"/>
          <w:sz w:val="21"/>
        </w:rPr>
        <w:t>Sample service re</w:t>
      </w:r>
      <w:r>
        <w:rPr>
          <w:rFonts w:eastAsia="Arial"/>
          <w:sz w:val="21"/>
        </w:rPr>
        <w:t>quests from a clearly defined domain within the computed FOR.</w:t>
      </w:r>
    </w:p>
    <w:p w14:paraId="7670D8D2" w14:textId="77777777" w:rsidR="00CB1C27" w:rsidRDefault="0023486C">
      <w:pPr>
        <w:numPr>
          <w:ilvl w:val="0"/>
          <w:numId w:val="1"/>
        </w:numPr>
      </w:pPr>
      <w:r>
        <w:rPr>
          <w:rFonts w:eastAsia="Arial"/>
          <w:sz w:val="21"/>
        </w:rPr>
        <w:t>For each request, record disaggregation feasibility, network-limit compliance, and the selected fairness metrics.</w:t>
      </w:r>
    </w:p>
    <w:p w14:paraId="623AEB18" w14:textId="77777777" w:rsidR="00CB1C27" w:rsidRDefault="0023486C">
      <w:pPr>
        <w:numPr>
          <w:ilvl w:val="0"/>
          <w:numId w:val="1"/>
        </w:numPr>
      </w:pPr>
      <w:r>
        <w:rPr>
          <w:rFonts w:eastAsia="Arial"/>
          <w:sz w:val="21"/>
        </w:rPr>
        <w:t>Report an empirical feasibility rate and uncertainty bounds; avoid committing to</w:t>
      </w:r>
      <w:r>
        <w:rPr>
          <w:rFonts w:eastAsia="Arial"/>
          <w:sz w:val="21"/>
        </w:rPr>
        <w:t xml:space="preserve"> a value such as 99.99% until it is demonstrated.</w:t>
      </w:r>
    </w:p>
    <w:p w14:paraId="0959ECD6" w14:textId="77777777" w:rsidR="00CB1C27" w:rsidRPr="00A5763F" w:rsidRDefault="0023486C">
      <w:pPr>
        <w:numPr>
          <w:ilvl w:val="0"/>
          <w:numId w:val="1"/>
        </w:numPr>
        <w:rPr>
          <w:b/>
          <w:bCs/>
        </w:rPr>
      </w:pPr>
      <w:r w:rsidRPr="00A5763F">
        <w:rPr>
          <w:rFonts w:eastAsia="Arial"/>
          <w:b/>
          <w:bCs/>
          <w:sz w:val="21"/>
        </w:rPr>
        <w:t>Use the P3 results to verify the internal consistency of the complete P1-P2-P3 chain.</w:t>
      </w:r>
    </w:p>
    <w:p w14:paraId="59DF7D8C" w14:textId="77777777" w:rsidR="00CB1C27" w:rsidRDefault="0023486C">
      <w:pPr>
        <w:pStyle w:val="Heading2"/>
      </w:pPr>
      <w:r>
        <w:t>2.2 Figure Strategy</w:t>
      </w:r>
    </w:p>
    <w:p w14:paraId="6DE0395A" w14:textId="77777777" w:rsidR="00CB1C27" w:rsidRDefault="0023486C">
      <w:r>
        <w:rPr>
          <w:rFonts w:eastAsia="Arial"/>
        </w:rPr>
        <w:t>The main framework figure should be revised to show P3 explicitly, including the transition from the</w:t>
      </w:r>
      <w:r>
        <w:rPr>
          <w:rFonts w:eastAsia="Arial"/>
        </w:rPr>
        <w:t xml:space="preserve"> aggregate service point to fairness-aware dispatch. Nacho's PDF contains candidate structures for the introduction and methodology. A tentative target of three principal figures was discussed, but the final number should follow the needs of the paper.</w:t>
      </w:r>
    </w:p>
    <w:p w14:paraId="4E051533" w14:textId="77777777" w:rsidR="00CB1C27" w:rsidRDefault="0023486C">
      <w:pPr>
        <w:pStyle w:val="Heading1"/>
      </w:pPr>
      <w:r>
        <w:t xml:space="preserve">3. </w:t>
      </w:r>
      <w:r>
        <w:t>Computational Plan and Performance Tests</w:t>
      </w:r>
    </w:p>
    <w:p w14:paraId="340B27C2" w14:textId="77777777" w:rsidR="00CB1C27" w:rsidRDefault="0023486C">
      <w:r>
        <w:rPr>
          <w:rFonts w:eastAsia="Arial"/>
        </w:rPr>
        <w:t>Tulio reported that transformer-by-transformer runs reproduced the same results in less time, although the speed-up had not yet been quantified. The immediate objective is to establish whether equivalent results can</w:t>
      </w:r>
      <w:r>
        <w:rPr>
          <w:rFonts w:eastAsia="Arial"/>
        </w:rPr>
        <w:t xml:space="preserve"> be obtained more efficiently on the complete feeder.</w:t>
      </w:r>
    </w:p>
    <w:p w14:paraId="2B011C56" w14:textId="77777777" w:rsidR="00CB1C27" w:rsidRDefault="0023486C">
      <w:pPr>
        <w:numPr>
          <w:ilvl w:val="0"/>
          <w:numId w:val="1"/>
        </w:numPr>
      </w:pPr>
      <w:r>
        <w:rPr>
          <w:rFonts w:eastAsia="Arial"/>
          <w:sz w:val="21"/>
        </w:rPr>
        <w:t>Quantify the runtime reduction achieved by the transformer-by-transformer implementation before the meeting with Luis.</w:t>
      </w:r>
    </w:p>
    <w:p w14:paraId="64A8E76E" w14:textId="77777777" w:rsidR="00CB1C27" w:rsidRDefault="0023486C">
      <w:pPr>
        <w:numPr>
          <w:ilvl w:val="0"/>
          <w:numId w:val="1"/>
        </w:numPr>
      </w:pPr>
      <w:r>
        <w:rPr>
          <w:rFonts w:eastAsia="Arial"/>
          <w:sz w:val="21"/>
        </w:rPr>
        <w:t xml:space="preserve">Test Luis's suggestion by deactivating the selected constraints or </w:t>
      </w:r>
      <w:r>
        <w:rPr>
          <w:rFonts w:eastAsia="Arial"/>
          <w:sz w:val="21"/>
        </w:rPr>
        <w:t>generated matrix rows using the GMP workflow, then compare both solutions and runtimes.</w:t>
      </w:r>
    </w:p>
    <w:p w14:paraId="3EC35F25" w14:textId="77777777" w:rsidR="00CB1C27" w:rsidRDefault="0023486C">
      <w:pPr>
        <w:numPr>
          <w:ilvl w:val="0"/>
          <w:numId w:val="1"/>
        </w:numPr>
      </w:pPr>
      <w:r>
        <w:rPr>
          <w:rFonts w:eastAsia="Arial"/>
          <w:sz w:val="21"/>
        </w:rPr>
        <w:t>Run the complete-feeder rolling horizon and record solution status, total runtime, per-stage runtime, and any numerical failures.</w:t>
      </w:r>
    </w:p>
    <w:p w14:paraId="6825F5C4" w14:textId="77777777" w:rsidR="00CB1C27" w:rsidRDefault="0023486C">
      <w:pPr>
        <w:numPr>
          <w:ilvl w:val="0"/>
          <w:numId w:val="1"/>
        </w:numPr>
      </w:pPr>
      <w:r>
        <w:rPr>
          <w:rFonts w:eastAsia="Arial"/>
          <w:sz w:val="21"/>
        </w:rPr>
        <w:t>Estimate the complete-day runtime unde</w:t>
      </w:r>
      <w:r>
        <w:rPr>
          <w:rFonts w:eastAsia="Arial"/>
          <w:sz w:val="21"/>
        </w:rPr>
        <w:t>r the measured percentage reduction only after equivalence has been confirmed.</w:t>
      </w:r>
    </w:p>
    <w:p w14:paraId="13524C8D" w14:textId="77777777" w:rsidR="00CB1C27" w:rsidRDefault="0023486C">
      <w:pPr>
        <w:numPr>
          <w:ilvl w:val="0"/>
          <w:numId w:val="1"/>
        </w:numPr>
      </w:pPr>
      <w:r>
        <w:rPr>
          <w:rFonts w:eastAsia="Arial"/>
          <w:sz w:val="21"/>
        </w:rPr>
        <w:t>Decide among complete-feeder execution, transformer decomposition, and supercomputing only after the benchmark results are available.</w:t>
      </w:r>
    </w:p>
    <w:tbl>
      <w:tblPr>
        <w:tblW w:w="9360" w:type="dxa"/>
        <w:tblInd w:w="180" w:type="dxa"/>
        <w:tblBorders>
          <w:top w:val="nil"/>
          <w:left w:val="nil"/>
          <w:bottom w:val="nil"/>
          <w:right w:val="nil"/>
          <w:insideH w:val="nil"/>
          <w:insideV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CB1C27" w14:paraId="21636982" w14:textId="77777777">
        <w:trPr>
          <w:cantSplit/>
        </w:trPr>
        <w:tc>
          <w:tcPr>
            <w:tcW w:w="9360" w:type="dxa"/>
            <w:tcBorders>
              <w:left w:val="single" w:sz="20" w:space="0" w:color="7A5A00"/>
            </w:tcBorders>
            <w:shd w:val="clear" w:color="auto" w:fill="FFF6D8"/>
            <w:tcMar>
              <w:top w:w="140" w:type="dxa"/>
              <w:left w:w="180" w:type="dxa"/>
              <w:bottom w:w="140" w:type="dxa"/>
              <w:right w:w="180" w:type="dxa"/>
            </w:tcMar>
          </w:tcPr>
          <w:p w14:paraId="574F89B9" w14:textId="77777777" w:rsidR="00CB1C27" w:rsidRDefault="0023486C">
            <w:pPr>
              <w:spacing w:after="0" w:line="276" w:lineRule="auto"/>
            </w:pPr>
            <w:r>
              <w:rPr>
                <w:rFonts w:eastAsia="Arial"/>
                <w:b/>
                <w:color w:val="7A5A00"/>
                <w:sz w:val="19"/>
              </w:rPr>
              <w:t xml:space="preserve">IMPORTANT QUALIFICATION  </w:t>
            </w:r>
            <w:r>
              <w:rPr>
                <w:rFonts w:eastAsia="Arial"/>
                <w:b/>
                <w:color w:val="0B2545"/>
              </w:rPr>
              <w:t xml:space="preserve">The suggested 90% </w:t>
            </w:r>
            <w:r>
              <w:rPr>
                <w:rFonts w:eastAsia="Arial"/>
                <w:b/>
                <w:color w:val="0B2545"/>
              </w:rPr>
              <w:t>reduction and approximately six-hour full run were working hypotheses discussed in the meeting. They are not results and must not appear in the paper until verified.</w:t>
            </w:r>
          </w:p>
        </w:tc>
      </w:tr>
    </w:tbl>
    <w:p w14:paraId="7DD357E5" w14:textId="77777777" w:rsidR="00CB1C27" w:rsidRDefault="00CB1C27">
      <w:pPr>
        <w:spacing w:after="60"/>
      </w:pPr>
    </w:p>
    <w:p w14:paraId="2FDFEAD2" w14:textId="77777777" w:rsidR="00CB1C27" w:rsidRDefault="0023486C">
      <w:pPr>
        <w:pStyle w:val="Heading1"/>
      </w:pPr>
      <w:r>
        <w:lastRenderedPageBreak/>
        <w:t>4. Collaboration and Version-Control Workflow</w:t>
      </w:r>
    </w:p>
    <w:p w14:paraId="3C40533B" w14:textId="4E1A18AE" w:rsidR="00CB1C27" w:rsidRDefault="0023486C">
      <w:r>
        <w:rPr>
          <w:rFonts w:eastAsia="Arial"/>
        </w:rPr>
        <w:t>The</w:t>
      </w:r>
      <w:r>
        <w:rPr>
          <w:rFonts w:eastAsia="Arial"/>
        </w:rPr>
        <w:t xml:space="preserve"> workflow will move </w:t>
      </w:r>
      <w:r>
        <w:rPr>
          <w:rFonts w:eastAsia="Arial"/>
        </w:rPr>
        <w:t>to GitHub to avoid overwriting changes and to keep the manuscript, literature context, formulations, and supporting documents in one traceable location. Overleaf will remain the review copy shared with Luis and Mariana after the coauthors consolidate a sta</w:t>
      </w:r>
      <w:r>
        <w:rPr>
          <w:rFonts w:eastAsia="Arial"/>
        </w:rPr>
        <w:t>ble version.</w:t>
      </w:r>
    </w:p>
    <w:p w14:paraId="0AC5C937" w14:textId="77777777" w:rsidR="00CB1C27" w:rsidRDefault="0023486C">
      <w:pPr>
        <w:numPr>
          <w:ilvl w:val="0"/>
          <w:numId w:val="1"/>
        </w:numPr>
      </w:pPr>
      <w:r>
        <w:rPr>
          <w:rFonts w:eastAsia="Arial"/>
          <w:sz w:val="21"/>
        </w:rPr>
        <w:t>Share the current manuscript package with Nacho without replacing the more advanced working version.</w:t>
      </w:r>
    </w:p>
    <w:p w14:paraId="60C50118" w14:textId="77777777" w:rsidR="00CB1C27" w:rsidRDefault="0023486C">
      <w:pPr>
        <w:numPr>
          <w:ilvl w:val="0"/>
          <w:numId w:val="1"/>
        </w:numPr>
      </w:pPr>
      <w:r>
        <w:rPr>
          <w:rFonts w:eastAsia="Arial"/>
          <w:sz w:val="21"/>
        </w:rPr>
        <w:t>Use commits, pushes, and pulls for manuscript edits and maintain a dedicated docs folder for literature notes, formulation notes, and AI conte</w:t>
      </w:r>
      <w:r>
        <w:rPr>
          <w:rFonts w:eastAsia="Arial"/>
          <w:sz w:val="21"/>
        </w:rPr>
        <w:t>xt files.</w:t>
      </w:r>
    </w:p>
    <w:p w14:paraId="00C7E5D1" w14:textId="77777777" w:rsidR="00CB1C27" w:rsidRDefault="0023486C">
      <w:pPr>
        <w:numPr>
          <w:ilvl w:val="0"/>
          <w:numId w:val="1"/>
        </w:numPr>
      </w:pPr>
      <w:r>
        <w:rPr>
          <w:rFonts w:eastAsia="Arial"/>
          <w:sz w:val="21"/>
        </w:rPr>
        <w:t>Update Overleaf at review checkpoints rather than using it for simultaneous exploratory edits.</w:t>
      </w:r>
    </w:p>
    <w:p w14:paraId="0FC82C37" w14:textId="77777777" w:rsidR="00CB1C27" w:rsidRDefault="0023486C">
      <w:pPr>
        <w:numPr>
          <w:ilvl w:val="0"/>
          <w:numId w:val="1"/>
        </w:numPr>
      </w:pPr>
      <w:r>
        <w:rPr>
          <w:rFonts w:eastAsia="Arial"/>
          <w:sz w:val="21"/>
        </w:rPr>
        <w:t>Use the repository instead of WhatsApp for substantive research documents and evolving technical material.</w:t>
      </w:r>
    </w:p>
    <w:p w14:paraId="0D54F0AF" w14:textId="77777777" w:rsidR="00CB1C27" w:rsidRDefault="0023486C">
      <w:pPr>
        <w:pStyle w:val="Heading1"/>
      </w:pPr>
      <w:r>
        <w:t>5. Decisions and Working Hypotheses</w:t>
      </w:r>
    </w:p>
    <w:p w14:paraId="0EA2191F" w14:textId="77777777" w:rsidR="00CB1C27" w:rsidRDefault="0023486C">
      <w:pPr>
        <w:pStyle w:val="Heading2"/>
      </w:pPr>
      <w:r>
        <w:t>Confirme</w:t>
      </w:r>
      <w:r>
        <w:t>d Decisions</w:t>
      </w:r>
    </w:p>
    <w:p w14:paraId="7BAA642E" w14:textId="77777777" w:rsidR="00CB1C27" w:rsidRDefault="0023486C">
      <w:pPr>
        <w:numPr>
          <w:ilvl w:val="0"/>
          <w:numId w:val="1"/>
        </w:numPr>
      </w:pPr>
      <w:r>
        <w:rPr>
          <w:rFonts w:eastAsia="Arial"/>
          <w:sz w:val="21"/>
        </w:rPr>
        <w:t>Organize the methodology as P1 self-consumption, P2 FOR computation, and P3 fairness-aware disaggregation.</w:t>
      </w:r>
    </w:p>
    <w:p w14:paraId="52D23DD2" w14:textId="77777777" w:rsidR="00CB1C27" w:rsidRDefault="0023486C">
      <w:pPr>
        <w:numPr>
          <w:ilvl w:val="0"/>
          <w:numId w:val="1"/>
        </w:numPr>
      </w:pPr>
      <w:r>
        <w:rPr>
          <w:rFonts w:eastAsia="Arial"/>
          <w:sz w:val="21"/>
        </w:rPr>
        <w:t>Reframe DOE-related literature as the contrast that motivates fairness at an activated service point.</w:t>
      </w:r>
    </w:p>
    <w:p w14:paraId="669A8252" w14:textId="77777777" w:rsidR="00CB1C27" w:rsidRDefault="0023486C">
      <w:pPr>
        <w:numPr>
          <w:ilvl w:val="0"/>
          <w:numId w:val="1"/>
        </w:numPr>
      </w:pPr>
      <w:r>
        <w:rPr>
          <w:rFonts w:eastAsia="Arial"/>
          <w:sz w:val="21"/>
        </w:rPr>
        <w:t>Revise the framework figure so that</w:t>
      </w:r>
      <w:r>
        <w:rPr>
          <w:rFonts w:eastAsia="Arial"/>
          <w:sz w:val="21"/>
        </w:rPr>
        <w:t xml:space="preserve"> the P3 fairness/disaggregation stage is explicit.</w:t>
      </w:r>
    </w:p>
    <w:p w14:paraId="5086663F" w14:textId="77777777" w:rsidR="00CB1C27" w:rsidRPr="00A5763F" w:rsidRDefault="0023486C">
      <w:pPr>
        <w:numPr>
          <w:ilvl w:val="0"/>
          <w:numId w:val="1"/>
        </w:numPr>
        <w:rPr>
          <w:b/>
          <w:bCs/>
        </w:rPr>
      </w:pPr>
      <w:r w:rsidRPr="00A5763F">
        <w:rPr>
          <w:rFonts w:eastAsia="Arial"/>
          <w:b/>
          <w:bCs/>
          <w:sz w:val="21"/>
        </w:rPr>
        <w:t>Exchange complementary must-cite literature lists within two weeks.</w:t>
      </w:r>
    </w:p>
    <w:p w14:paraId="4F0D4C49" w14:textId="77777777" w:rsidR="00CB1C27" w:rsidRDefault="0023486C">
      <w:pPr>
        <w:numPr>
          <w:ilvl w:val="0"/>
          <w:numId w:val="1"/>
        </w:numPr>
      </w:pPr>
      <w:r>
        <w:rPr>
          <w:rFonts w:eastAsia="Arial"/>
          <w:sz w:val="21"/>
        </w:rPr>
        <w:t>Use GitHub as the active coauthor workspace and Overleaf as the consolidated supervisor-review copy.</w:t>
      </w:r>
    </w:p>
    <w:p w14:paraId="4C347EB6" w14:textId="77777777" w:rsidR="00CB1C27" w:rsidRDefault="0023486C">
      <w:pPr>
        <w:pStyle w:val="Heading2"/>
      </w:pPr>
      <w:r>
        <w:t>Working Hypotheses to Test</w:t>
      </w:r>
    </w:p>
    <w:p w14:paraId="14EDDF11" w14:textId="77777777" w:rsidR="00CB1C27" w:rsidRDefault="0023486C">
      <w:pPr>
        <w:numPr>
          <w:ilvl w:val="0"/>
          <w:numId w:val="1"/>
        </w:numPr>
      </w:pPr>
      <w:r>
        <w:rPr>
          <w:rFonts w:eastAsia="Arial"/>
          <w:sz w:val="21"/>
        </w:rPr>
        <w:t>The fairn</w:t>
      </w:r>
      <w:r>
        <w:rPr>
          <w:rFonts w:eastAsia="Arial"/>
          <w:sz w:val="21"/>
        </w:rPr>
        <w:t>ess-at-service-point framing provides a sufficiently distinct research gap relative to DOE allocation studies.</w:t>
      </w:r>
    </w:p>
    <w:p w14:paraId="04934594" w14:textId="77777777" w:rsidR="00CB1C27" w:rsidRDefault="0023486C">
      <w:pPr>
        <w:numPr>
          <w:ilvl w:val="0"/>
          <w:numId w:val="1"/>
        </w:numPr>
      </w:pPr>
      <w:r>
        <w:rPr>
          <w:rFonts w:eastAsia="Arial"/>
          <w:sz w:val="21"/>
        </w:rPr>
        <w:t>Sampled P3 requests can provide meaningful empirical evidence of implementation reliability and fairness.</w:t>
      </w:r>
    </w:p>
    <w:p w14:paraId="20E0ED4C" w14:textId="77777777" w:rsidR="00CB1C27" w:rsidRDefault="0023486C">
      <w:pPr>
        <w:numPr>
          <w:ilvl w:val="0"/>
          <w:numId w:val="1"/>
        </w:numPr>
      </w:pPr>
      <w:r>
        <w:rPr>
          <w:rFonts w:eastAsia="Arial"/>
          <w:sz w:val="21"/>
        </w:rPr>
        <w:t xml:space="preserve">Deactivating selected </w:t>
      </w:r>
      <w:r>
        <w:rPr>
          <w:rFonts w:eastAsia="Arial"/>
          <w:sz w:val="21"/>
        </w:rPr>
        <w:t>constraints preserves the relevant solution while substantially reducing generation and solution time.</w:t>
      </w:r>
    </w:p>
    <w:p w14:paraId="6FFC4EBA" w14:textId="77777777" w:rsidR="00CB1C27" w:rsidRDefault="0023486C">
      <w:pPr>
        <w:numPr>
          <w:ilvl w:val="0"/>
          <w:numId w:val="1"/>
        </w:numPr>
      </w:pPr>
      <w:r>
        <w:rPr>
          <w:rFonts w:eastAsia="Arial"/>
          <w:sz w:val="21"/>
        </w:rPr>
        <w:t>The resulting speed-up may make complete-feeder execution practical without supercomputing or transformer decomposition.</w:t>
      </w:r>
    </w:p>
    <w:p w14:paraId="3D6538C5" w14:textId="77777777" w:rsidR="00CB1C27" w:rsidRDefault="0023486C">
      <w:r>
        <w:br w:type="page"/>
      </w:r>
    </w:p>
    <w:p w14:paraId="6F3FB980" w14:textId="77777777" w:rsidR="00CB1C27" w:rsidRDefault="0023486C">
      <w:pPr>
        <w:pStyle w:val="Heading1"/>
      </w:pPr>
      <w:r>
        <w:lastRenderedPageBreak/>
        <w:t>6. Action Register</w:t>
      </w:r>
    </w:p>
    <w:tbl>
      <w:tblPr>
        <w:tblW w:w="9360" w:type="dxa"/>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Layout w:type="fixed"/>
        <w:tblCellMar>
          <w:top w:w="80" w:type="dxa"/>
          <w:left w:w="120" w:type="dxa"/>
          <w:bottom w:w="80" w:type="dxa"/>
          <w:right w:w="120" w:type="dxa"/>
        </w:tblCellMar>
        <w:tblLook w:val="04A0" w:firstRow="1" w:lastRow="0" w:firstColumn="1" w:lastColumn="0" w:noHBand="0" w:noVBand="1"/>
      </w:tblPr>
      <w:tblGrid>
        <w:gridCol w:w="560"/>
        <w:gridCol w:w="3820"/>
        <w:gridCol w:w="1180"/>
        <w:gridCol w:w="1350"/>
        <w:gridCol w:w="2450"/>
      </w:tblGrid>
      <w:tr w:rsidR="00CB1C27" w14:paraId="7DEB74AA" w14:textId="77777777">
        <w:trPr>
          <w:cantSplit/>
          <w:tblHeader/>
        </w:trPr>
        <w:tc>
          <w:tcPr>
            <w:tcW w:w="560" w:type="dxa"/>
            <w:shd w:val="clear" w:color="auto" w:fill="F2F4F7"/>
            <w:tcMar>
              <w:top w:w="80" w:type="dxa"/>
              <w:left w:w="120" w:type="dxa"/>
              <w:bottom w:w="80" w:type="dxa"/>
              <w:right w:w="120" w:type="dxa"/>
            </w:tcMar>
            <w:vAlign w:val="center"/>
          </w:tcPr>
          <w:p w14:paraId="7ABC5ED4" w14:textId="77777777" w:rsidR="00CB1C27" w:rsidRDefault="0023486C">
            <w:pPr>
              <w:spacing w:after="0"/>
              <w:jc w:val="center"/>
            </w:pPr>
            <w:r>
              <w:rPr>
                <w:rFonts w:eastAsia="Arial"/>
                <w:b/>
                <w:color w:val="0B2545"/>
                <w:sz w:val="18"/>
              </w:rPr>
              <w:t>No.</w:t>
            </w:r>
          </w:p>
        </w:tc>
        <w:tc>
          <w:tcPr>
            <w:tcW w:w="3820" w:type="dxa"/>
            <w:shd w:val="clear" w:color="auto" w:fill="F2F4F7"/>
            <w:tcMar>
              <w:top w:w="80" w:type="dxa"/>
              <w:left w:w="120" w:type="dxa"/>
              <w:bottom w:w="80" w:type="dxa"/>
              <w:right w:w="120" w:type="dxa"/>
            </w:tcMar>
            <w:vAlign w:val="center"/>
          </w:tcPr>
          <w:p w14:paraId="278EEA9F" w14:textId="77777777" w:rsidR="00CB1C27" w:rsidRDefault="0023486C">
            <w:pPr>
              <w:spacing w:after="0"/>
            </w:pPr>
            <w:r>
              <w:rPr>
                <w:rFonts w:eastAsia="Arial"/>
                <w:b/>
                <w:color w:val="0B2545"/>
                <w:sz w:val="18"/>
              </w:rPr>
              <w:t>Action</w:t>
            </w:r>
          </w:p>
        </w:tc>
        <w:tc>
          <w:tcPr>
            <w:tcW w:w="1180" w:type="dxa"/>
            <w:shd w:val="clear" w:color="auto" w:fill="F2F4F7"/>
            <w:tcMar>
              <w:top w:w="80" w:type="dxa"/>
              <w:left w:w="120" w:type="dxa"/>
              <w:bottom w:w="80" w:type="dxa"/>
              <w:right w:w="120" w:type="dxa"/>
            </w:tcMar>
            <w:vAlign w:val="center"/>
          </w:tcPr>
          <w:p w14:paraId="30CB9620" w14:textId="77777777" w:rsidR="00CB1C27" w:rsidRDefault="0023486C">
            <w:pPr>
              <w:spacing w:after="0"/>
              <w:jc w:val="center"/>
            </w:pPr>
            <w:r>
              <w:rPr>
                <w:rFonts w:eastAsia="Arial"/>
                <w:b/>
                <w:color w:val="0B2545"/>
                <w:sz w:val="18"/>
              </w:rPr>
              <w:t>Owner</w:t>
            </w:r>
          </w:p>
        </w:tc>
        <w:tc>
          <w:tcPr>
            <w:tcW w:w="1350" w:type="dxa"/>
            <w:shd w:val="clear" w:color="auto" w:fill="F2F4F7"/>
            <w:tcMar>
              <w:top w:w="80" w:type="dxa"/>
              <w:left w:w="120" w:type="dxa"/>
              <w:bottom w:w="80" w:type="dxa"/>
              <w:right w:w="120" w:type="dxa"/>
            </w:tcMar>
            <w:vAlign w:val="center"/>
          </w:tcPr>
          <w:p w14:paraId="0D4B2497" w14:textId="77777777" w:rsidR="00CB1C27" w:rsidRDefault="0023486C">
            <w:pPr>
              <w:spacing w:after="0"/>
              <w:jc w:val="center"/>
            </w:pPr>
            <w:r>
              <w:rPr>
                <w:rFonts w:eastAsia="Arial"/>
                <w:b/>
                <w:color w:val="0B2545"/>
                <w:sz w:val="18"/>
              </w:rPr>
              <w:t>Timing</w:t>
            </w:r>
          </w:p>
        </w:tc>
        <w:tc>
          <w:tcPr>
            <w:tcW w:w="2450" w:type="dxa"/>
            <w:shd w:val="clear" w:color="auto" w:fill="F2F4F7"/>
            <w:tcMar>
              <w:top w:w="80" w:type="dxa"/>
              <w:left w:w="120" w:type="dxa"/>
              <w:bottom w:w="80" w:type="dxa"/>
              <w:right w:w="120" w:type="dxa"/>
            </w:tcMar>
            <w:vAlign w:val="center"/>
          </w:tcPr>
          <w:p w14:paraId="16C77BF7" w14:textId="77777777" w:rsidR="00CB1C27" w:rsidRDefault="0023486C">
            <w:pPr>
              <w:spacing w:after="0"/>
            </w:pPr>
            <w:r>
              <w:rPr>
                <w:rFonts w:eastAsia="Arial"/>
                <w:b/>
                <w:color w:val="0B2545"/>
                <w:sz w:val="18"/>
              </w:rPr>
              <w:t>Expected output</w:t>
            </w:r>
          </w:p>
        </w:tc>
      </w:tr>
      <w:tr w:rsidR="00CB1C27" w14:paraId="3E369C62" w14:textId="77777777">
        <w:trPr>
          <w:cantSplit/>
        </w:trPr>
        <w:tc>
          <w:tcPr>
            <w:tcW w:w="560" w:type="dxa"/>
            <w:vAlign w:val="center"/>
          </w:tcPr>
          <w:p w14:paraId="4CE797F7" w14:textId="77777777" w:rsidR="00CB1C27" w:rsidRDefault="0023486C">
            <w:pPr>
              <w:spacing w:after="0" w:line="252" w:lineRule="auto"/>
              <w:jc w:val="center"/>
            </w:pPr>
            <w:r>
              <w:rPr>
                <w:rFonts w:eastAsia="Arial"/>
                <w:b/>
                <w:sz w:val="17"/>
              </w:rPr>
              <w:t>1</w:t>
            </w:r>
          </w:p>
        </w:tc>
        <w:tc>
          <w:tcPr>
            <w:tcW w:w="3820" w:type="dxa"/>
            <w:vAlign w:val="center"/>
          </w:tcPr>
          <w:p w14:paraId="6BBDC275" w14:textId="77777777" w:rsidR="00CB1C27" w:rsidRDefault="0023486C">
            <w:pPr>
              <w:spacing w:after="0" w:line="252" w:lineRule="auto"/>
            </w:pPr>
            <w:r>
              <w:rPr>
                <w:rFonts w:eastAsia="Arial"/>
                <w:sz w:val="17"/>
              </w:rPr>
              <w:t>Revise the introduction to distinguish free-use envelopes from fairness-aware disaggregation of an activated service point; retain DOE literature as context.</w:t>
            </w:r>
          </w:p>
        </w:tc>
        <w:tc>
          <w:tcPr>
            <w:tcW w:w="1180" w:type="dxa"/>
            <w:vAlign w:val="center"/>
          </w:tcPr>
          <w:p w14:paraId="69D9F9A3" w14:textId="77777777" w:rsidR="00CB1C27" w:rsidRDefault="0023486C">
            <w:pPr>
              <w:spacing w:after="0" w:line="252" w:lineRule="auto"/>
              <w:jc w:val="center"/>
            </w:pPr>
            <w:r>
              <w:rPr>
                <w:rFonts w:eastAsia="Arial"/>
                <w:sz w:val="17"/>
              </w:rPr>
              <w:t>Tulio</w:t>
            </w:r>
          </w:p>
        </w:tc>
        <w:tc>
          <w:tcPr>
            <w:tcW w:w="1350" w:type="dxa"/>
            <w:vAlign w:val="center"/>
          </w:tcPr>
          <w:p w14:paraId="6A4ADB39" w14:textId="77777777" w:rsidR="00CB1C27" w:rsidRDefault="0023486C">
            <w:pPr>
              <w:spacing w:after="0" w:line="252" w:lineRule="auto"/>
              <w:jc w:val="center"/>
            </w:pPr>
            <w:r>
              <w:rPr>
                <w:rFonts w:eastAsia="Arial"/>
                <w:sz w:val="17"/>
              </w:rPr>
              <w:t>Next draft</w:t>
            </w:r>
          </w:p>
        </w:tc>
        <w:tc>
          <w:tcPr>
            <w:tcW w:w="2450" w:type="dxa"/>
            <w:vAlign w:val="center"/>
          </w:tcPr>
          <w:p w14:paraId="54C900F5" w14:textId="77777777" w:rsidR="00CB1C27" w:rsidRDefault="0023486C">
            <w:pPr>
              <w:spacing w:after="0" w:line="252" w:lineRule="auto"/>
            </w:pPr>
            <w:r>
              <w:rPr>
                <w:rFonts w:eastAsia="Arial"/>
                <w:sz w:val="17"/>
              </w:rPr>
              <w:t>Revised gap and transition paragraphs</w:t>
            </w:r>
          </w:p>
        </w:tc>
      </w:tr>
      <w:tr w:rsidR="00CB1C27" w14:paraId="7F8A451F" w14:textId="77777777">
        <w:trPr>
          <w:cantSplit/>
        </w:trPr>
        <w:tc>
          <w:tcPr>
            <w:tcW w:w="560" w:type="dxa"/>
            <w:shd w:val="clear" w:color="auto" w:fill="FAFBFC"/>
            <w:vAlign w:val="center"/>
          </w:tcPr>
          <w:p w14:paraId="501A2C39" w14:textId="77777777" w:rsidR="00CB1C27" w:rsidRDefault="0023486C">
            <w:pPr>
              <w:spacing w:after="0" w:line="252" w:lineRule="auto"/>
              <w:jc w:val="center"/>
            </w:pPr>
            <w:r>
              <w:rPr>
                <w:rFonts w:eastAsia="Arial"/>
                <w:b/>
                <w:sz w:val="17"/>
              </w:rPr>
              <w:t>2</w:t>
            </w:r>
          </w:p>
        </w:tc>
        <w:tc>
          <w:tcPr>
            <w:tcW w:w="3820" w:type="dxa"/>
            <w:shd w:val="clear" w:color="auto" w:fill="FAFBFC"/>
            <w:vAlign w:val="center"/>
          </w:tcPr>
          <w:p w14:paraId="171F71A2" w14:textId="77777777" w:rsidR="00CB1C27" w:rsidRDefault="0023486C">
            <w:pPr>
              <w:spacing w:after="0" w:line="252" w:lineRule="auto"/>
            </w:pPr>
            <w:r>
              <w:rPr>
                <w:rFonts w:eastAsia="Arial"/>
                <w:sz w:val="17"/>
              </w:rPr>
              <w:t>Review Nacho's PDF/presentation and adapt its conceptual structure to the introduction, methodology, and framework figure.</w:t>
            </w:r>
          </w:p>
        </w:tc>
        <w:tc>
          <w:tcPr>
            <w:tcW w:w="1180" w:type="dxa"/>
            <w:shd w:val="clear" w:color="auto" w:fill="FAFBFC"/>
            <w:vAlign w:val="center"/>
          </w:tcPr>
          <w:p w14:paraId="2C570F0C" w14:textId="77777777" w:rsidR="00CB1C27" w:rsidRDefault="0023486C">
            <w:pPr>
              <w:spacing w:after="0" w:line="252" w:lineRule="auto"/>
              <w:jc w:val="center"/>
            </w:pPr>
            <w:r>
              <w:rPr>
                <w:rFonts w:eastAsia="Arial"/>
                <w:sz w:val="17"/>
              </w:rPr>
              <w:t>Tulio</w:t>
            </w:r>
          </w:p>
        </w:tc>
        <w:tc>
          <w:tcPr>
            <w:tcW w:w="1350" w:type="dxa"/>
            <w:shd w:val="clear" w:color="auto" w:fill="FAFBFC"/>
            <w:vAlign w:val="center"/>
          </w:tcPr>
          <w:p w14:paraId="22E905DE" w14:textId="77777777" w:rsidR="00CB1C27" w:rsidRDefault="0023486C">
            <w:pPr>
              <w:spacing w:after="0" w:line="252" w:lineRule="auto"/>
              <w:jc w:val="center"/>
            </w:pPr>
            <w:r>
              <w:rPr>
                <w:rFonts w:eastAsia="Arial"/>
                <w:sz w:val="17"/>
              </w:rPr>
              <w:t>Immediate</w:t>
            </w:r>
          </w:p>
        </w:tc>
        <w:tc>
          <w:tcPr>
            <w:tcW w:w="2450" w:type="dxa"/>
            <w:shd w:val="clear" w:color="auto" w:fill="FAFBFC"/>
            <w:vAlign w:val="center"/>
          </w:tcPr>
          <w:p w14:paraId="6092EC90" w14:textId="77777777" w:rsidR="00CB1C27" w:rsidRDefault="0023486C">
            <w:pPr>
              <w:spacing w:after="0" w:line="252" w:lineRule="auto"/>
            </w:pPr>
            <w:r>
              <w:rPr>
                <w:rFonts w:eastAsia="Arial"/>
                <w:sz w:val="17"/>
              </w:rPr>
              <w:t>Updated manuscript structure and figure brief</w:t>
            </w:r>
          </w:p>
        </w:tc>
      </w:tr>
      <w:tr w:rsidR="00CB1C27" w14:paraId="0295CC58" w14:textId="77777777">
        <w:trPr>
          <w:cantSplit/>
        </w:trPr>
        <w:tc>
          <w:tcPr>
            <w:tcW w:w="560" w:type="dxa"/>
            <w:vAlign w:val="center"/>
          </w:tcPr>
          <w:p w14:paraId="768ABD48" w14:textId="77777777" w:rsidR="00CB1C27" w:rsidRDefault="0023486C">
            <w:pPr>
              <w:spacing w:after="0" w:line="252" w:lineRule="auto"/>
              <w:jc w:val="center"/>
            </w:pPr>
            <w:r>
              <w:rPr>
                <w:rFonts w:eastAsia="Arial"/>
                <w:b/>
                <w:sz w:val="17"/>
              </w:rPr>
              <w:t>3</w:t>
            </w:r>
          </w:p>
        </w:tc>
        <w:tc>
          <w:tcPr>
            <w:tcW w:w="3820" w:type="dxa"/>
            <w:vAlign w:val="center"/>
          </w:tcPr>
          <w:p w14:paraId="438C5949" w14:textId="77777777" w:rsidR="00CB1C27" w:rsidRDefault="0023486C">
            <w:pPr>
              <w:spacing w:after="0" w:line="252" w:lineRule="auto"/>
            </w:pPr>
            <w:r>
              <w:rPr>
                <w:rFonts w:eastAsia="Arial"/>
                <w:sz w:val="17"/>
              </w:rPr>
              <w:t xml:space="preserve">Remove the internal literature-comparison table from the </w:t>
            </w:r>
            <w:r>
              <w:rPr>
                <w:rFonts w:eastAsia="Arial"/>
                <w:sz w:val="17"/>
              </w:rPr>
              <w:t>manuscript while retaining it as a working research aid.</w:t>
            </w:r>
          </w:p>
        </w:tc>
        <w:tc>
          <w:tcPr>
            <w:tcW w:w="1180" w:type="dxa"/>
            <w:vAlign w:val="center"/>
          </w:tcPr>
          <w:p w14:paraId="7A4A0F2C" w14:textId="77777777" w:rsidR="00CB1C27" w:rsidRDefault="0023486C">
            <w:pPr>
              <w:spacing w:after="0" w:line="252" w:lineRule="auto"/>
              <w:jc w:val="center"/>
            </w:pPr>
            <w:r>
              <w:rPr>
                <w:rFonts w:eastAsia="Arial"/>
                <w:sz w:val="17"/>
              </w:rPr>
              <w:t>Tulio</w:t>
            </w:r>
          </w:p>
        </w:tc>
        <w:tc>
          <w:tcPr>
            <w:tcW w:w="1350" w:type="dxa"/>
            <w:vAlign w:val="center"/>
          </w:tcPr>
          <w:p w14:paraId="0634FA08" w14:textId="77777777" w:rsidR="00CB1C27" w:rsidRDefault="0023486C">
            <w:pPr>
              <w:spacing w:after="0" w:line="252" w:lineRule="auto"/>
              <w:jc w:val="center"/>
            </w:pPr>
            <w:r>
              <w:rPr>
                <w:rFonts w:eastAsia="Arial"/>
                <w:sz w:val="17"/>
              </w:rPr>
              <w:t>Next draft</w:t>
            </w:r>
          </w:p>
        </w:tc>
        <w:tc>
          <w:tcPr>
            <w:tcW w:w="2450" w:type="dxa"/>
            <w:vAlign w:val="center"/>
          </w:tcPr>
          <w:p w14:paraId="3968BFE0" w14:textId="77777777" w:rsidR="00CB1C27" w:rsidRDefault="0023486C">
            <w:pPr>
              <w:spacing w:after="0" w:line="252" w:lineRule="auto"/>
            </w:pPr>
            <w:r>
              <w:rPr>
                <w:rFonts w:eastAsia="Arial"/>
                <w:sz w:val="17"/>
              </w:rPr>
              <w:t>Clean manuscript introduction</w:t>
            </w:r>
          </w:p>
        </w:tc>
      </w:tr>
      <w:tr w:rsidR="00CB1C27" w14:paraId="0A114602" w14:textId="77777777">
        <w:trPr>
          <w:cantSplit/>
        </w:trPr>
        <w:tc>
          <w:tcPr>
            <w:tcW w:w="560" w:type="dxa"/>
            <w:shd w:val="clear" w:color="auto" w:fill="FAFBFC"/>
            <w:vAlign w:val="center"/>
          </w:tcPr>
          <w:p w14:paraId="47CD08E3" w14:textId="77777777" w:rsidR="00CB1C27" w:rsidRDefault="0023486C">
            <w:pPr>
              <w:spacing w:after="0" w:line="252" w:lineRule="auto"/>
              <w:jc w:val="center"/>
            </w:pPr>
            <w:r>
              <w:rPr>
                <w:rFonts w:eastAsia="Arial"/>
                <w:b/>
                <w:sz w:val="17"/>
              </w:rPr>
              <w:t>4</w:t>
            </w:r>
          </w:p>
        </w:tc>
        <w:tc>
          <w:tcPr>
            <w:tcW w:w="3820" w:type="dxa"/>
            <w:shd w:val="clear" w:color="auto" w:fill="FAFBFC"/>
            <w:vAlign w:val="center"/>
          </w:tcPr>
          <w:p w14:paraId="1FDAB9CC" w14:textId="77777777" w:rsidR="00CB1C27" w:rsidRDefault="0023486C">
            <w:pPr>
              <w:spacing w:after="0" w:line="252" w:lineRule="auto"/>
            </w:pPr>
            <w:r>
              <w:rPr>
                <w:rFonts w:eastAsia="Arial"/>
                <w:sz w:val="17"/>
              </w:rPr>
              <w:t>Compile the must-cite FOR and multi-period flexibility papers.</w:t>
            </w:r>
          </w:p>
        </w:tc>
        <w:tc>
          <w:tcPr>
            <w:tcW w:w="1180" w:type="dxa"/>
            <w:shd w:val="clear" w:color="auto" w:fill="FAFBFC"/>
            <w:vAlign w:val="center"/>
          </w:tcPr>
          <w:p w14:paraId="25167C9C" w14:textId="77777777" w:rsidR="00CB1C27" w:rsidRDefault="0023486C">
            <w:pPr>
              <w:spacing w:after="0" w:line="252" w:lineRule="auto"/>
              <w:jc w:val="center"/>
            </w:pPr>
            <w:r>
              <w:rPr>
                <w:rFonts w:eastAsia="Arial"/>
                <w:sz w:val="17"/>
              </w:rPr>
              <w:t>Tulio</w:t>
            </w:r>
          </w:p>
        </w:tc>
        <w:tc>
          <w:tcPr>
            <w:tcW w:w="1350" w:type="dxa"/>
            <w:shd w:val="clear" w:color="auto" w:fill="FAFBFC"/>
            <w:vAlign w:val="center"/>
          </w:tcPr>
          <w:p w14:paraId="6AB73AAC" w14:textId="77777777" w:rsidR="00CB1C27" w:rsidRDefault="0023486C">
            <w:pPr>
              <w:spacing w:after="0" w:line="252" w:lineRule="auto"/>
              <w:jc w:val="center"/>
            </w:pPr>
            <w:r>
              <w:rPr>
                <w:rFonts w:eastAsia="Arial"/>
                <w:sz w:val="17"/>
              </w:rPr>
              <w:t>By 27 Aug 2026</w:t>
            </w:r>
          </w:p>
        </w:tc>
        <w:tc>
          <w:tcPr>
            <w:tcW w:w="2450" w:type="dxa"/>
            <w:shd w:val="clear" w:color="auto" w:fill="FAFBFC"/>
            <w:vAlign w:val="center"/>
          </w:tcPr>
          <w:p w14:paraId="1252B5B3" w14:textId="77777777" w:rsidR="00CB1C27" w:rsidRDefault="0023486C">
            <w:pPr>
              <w:spacing w:after="0" w:line="252" w:lineRule="auto"/>
            </w:pPr>
            <w:r>
              <w:rPr>
                <w:rFonts w:eastAsia="Arial"/>
                <w:sz w:val="17"/>
              </w:rPr>
              <w:t>Annotated FOR reference list</w:t>
            </w:r>
          </w:p>
        </w:tc>
      </w:tr>
      <w:tr w:rsidR="00CB1C27" w14:paraId="0601D0C2" w14:textId="77777777">
        <w:trPr>
          <w:cantSplit/>
        </w:trPr>
        <w:tc>
          <w:tcPr>
            <w:tcW w:w="560" w:type="dxa"/>
            <w:vAlign w:val="center"/>
          </w:tcPr>
          <w:p w14:paraId="53B7741F" w14:textId="77777777" w:rsidR="00CB1C27" w:rsidRDefault="0023486C">
            <w:pPr>
              <w:spacing w:after="0" w:line="252" w:lineRule="auto"/>
              <w:jc w:val="center"/>
            </w:pPr>
            <w:r>
              <w:rPr>
                <w:rFonts w:eastAsia="Arial"/>
                <w:b/>
                <w:sz w:val="17"/>
              </w:rPr>
              <w:t>5</w:t>
            </w:r>
          </w:p>
        </w:tc>
        <w:tc>
          <w:tcPr>
            <w:tcW w:w="3820" w:type="dxa"/>
            <w:vAlign w:val="center"/>
          </w:tcPr>
          <w:p w14:paraId="3FEEA859" w14:textId="77777777" w:rsidR="00CB1C27" w:rsidRDefault="0023486C">
            <w:pPr>
              <w:spacing w:after="0" w:line="252" w:lineRule="auto"/>
            </w:pPr>
            <w:r>
              <w:rPr>
                <w:rFonts w:eastAsia="Arial"/>
                <w:sz w:val="17"/>
              </w:rPr>
              <w:t xml:space="preserve">Compile the must-cite </w:t>
            </w:r>
            <w:r>
              <w:rPr>
                <w:rFonts w:eastAsia="Arial"/>
                <w:sz w:val="17"/>
              </w:rPr>
              <w:t>fairness and multiple-aggregator papers.</w:t>
            </w:r>
          </w:p>
        </w:tc>
        <w:tc>
          <w:tcPr>
            <w:tcW w:w="1180" w:type="dxa"/>
            <w:vAlign w:val="center"/>
          </w:tcPr>
          <w:p w14:paraId="41BD2511" w14:textId="77777777" w:rsidR="00CB1C27" w:rsidRDefault="0023486C">
            <w:pPr>
              <w:spacing w:after="0" w:line="252" w:lineRule="auto"/>
              <w:jc w:val="center"/>
            </w:pPr>
            <w:r>
              <w:rPr>
                <w:rFonts w:eastAsia="Arial"/>
                <w:sz w:val="17"/>
              </w:rPr>
              <w:t>Nacho</w:t>
            </w:r>
          </w:p>
        </w:tc>
        <w:tc>
          <w:tcPr>
            <w:tcW w:w="1350" w:type="dxa"/>
            <w:vAlign w:val="center"/>
          </w:tcPr>
          <w:p w14:paraId="1043C2A3" w14:textId="77777777" w:rsidR="00CB1C27" w:rsidRDefault="0023486C">
            <w:pPr>
              <w:spacing w:after="0" w:line="252" w:lineRule="auto"/>
              <w:jc w:val="center"/>
            </w:pPr>
            <w:r>
              <w:rPr>
                <w:rFonts w:eastAsia="Arial"/>
                <w:sz w:val="17"/>
              </w:rPr>
              <w:t>By 27 Aug 2026</w:t>
            </w:r>
          </w:p>
        </w:tc>
        <w:tc>
          <w:tcPr>
            <w:tcW w:w="2450" w:type="dxa"/>
            <w:vAlign w:val="center"/>
          </w:tcPr>
          <w:p w14:paraId="128EA94E" w14:textId="77777777" w:rsidR="00CB1C27" w:rsidRDefault="0023486C">
            <w:pPr>
              <w:spacing w:after="0" w:line="252" w:lineRule="auto"/>
            </w:pPr>
            <w:r>
              <w:rPr>
                <w:rFonts w:eastAsia="Arial"/>
                <w:sz w:val="17"/>
              </w:rPr>
              <w:t>Annotated fairness reference list</w:t>
            </w:r>
          </w:p>
        </w:tc>
      </w:tr>
      <w:tr w:rsidR="00CB1C27" w14:paraId="1C5FE896" w14:textId="77777777">
        <w:trPr>
          <w:cantSplit/>
        </w:trPr>
        <w:tc>
          <w:tcPr>
            <w:tcW w:w="560" w:type="dxa"/>
            <w:shd w:val="clear" w:color="auto" w:fill="FAFBFC"/>
            <w:vAlign w:val="center"/>
          </w:tcPr>
          <w:p w14:paraId="0EB25787" w14:textId="77777777" w:rsidR="00CB1C27" w:rsidRDefault="0023486C">
            <w:pPr>
              <w:spacing w:after="0" w:line="252" w:lineRule="auto"/>
              <w:jc w:val="center"/>
            </w:pPr>
            <w:r>
              <w:rPr>
                <w:rFonts w:eastAsia="Arial"/>
                <w:b/>
                <w:sz w:val="17"/>
              </w:rPr>
              <w:t>6</w:t>
            </w:r>
          </w:p>
        </w:tc>
        <w:tc>
          <w:tcPr>
            <w:tcW w:w="3820" w:type="dxa"/>
            <w:shd w:val="clear" w:color="auto" w:fill="FAFBFC"/>
            <w:vAlign w:val="center"/>
          </w:tcPr>
          <w:p w14:paraId="6AD4A098" w14:textId="77777777" w:rsidR="00CB1C27" w:rsidRDefault="0023486C">
            <w:pPr>
              <w:spacing w:after="0" w:line="252" w:lineRule="auto"/>
            </w:pPr>
            <w:r>
              <w:rPr>
                <w:rFonts w:eastAsia="Arial"/>
                <w:sz w:val="17"/>
              </w:rPr>
              <w:t>Quantify the transformer-by-transformer runtime improvement for discussion with Luis.</w:t>
            </w:r>
          </w:p>
        </w:tc>
        <w:tc>
          <w:tcPr>
            <w:tcW w:w="1180" w:type="dxa"/>
            <w:shd w:val="clear" w:color="auto" w:fill="FAFBFC"/>
            <w:vAlign w:val="center"/>
          </w:tcPr>
          <w:p w14:paraId="7A21DD27" w14:textId="77777777" w:rsidR="00CB1C27" w:rsidRDefault="0023486C">
            <w:pPr>
              <w:spacing w:after="0" w:line="252" w:lineRule="auto"/>
              <w:jc w:val="center"/>
            </w:pPr>
            <w:r>
              <w:rPr>
                <w:rFonts w:eastAsia="Arial"/>
                <w:sz w:val="17"/>
              </w:rPr>
              <w:t>Tulio</w:t>
            </w:r>
          </w:p>
        </w:tc>
        <w:tc>
          <w:tcPr>
            <w:tcW w:w="1350" w:type="dxa"/>
            <w:shd w:val="clear" w:color="auto" w:fill="FAFBFC"/>
            <w:vAlign w:val="center"/>
          </w:tcPr>
          <w:p w14:paraId="002E1DC7" w14:textId="77777777" w:rsidR="00CB1C27" w:rsidRDefault="0023486C">
            <w:pPr>
              <w:spacing w:after="0" w:line="252" w:lineRule="auto"/>
              <w:jc w:val="center"/>
            </w:pPr>
            <w:r>
              <w:rPr>
                <w:rFonts w:eastAsia="Arial"/>
                <w:sz w:val="17"/>
              </w:rPr>
              <w:t>Before 14 Aug meeting</w:t>
            </w:r>
          </w:p>
        </w:tc>
        <w:tc>
          <w:tcPr>
            <w:tcW w:w="2450" w:type="dxa"/>
            <w:shd w:val="clear" w:color="auto" w:fill="FAFBFC"/>
            <w:vAlign w:val="center"/>
          </w:tcPr>
          <w:p w14:paraId="04391178" w14:textId="77777777" w:rsidR="00CB1C27" w:rsidRDefault="0023486C">
            <w:pPr>
              <w:spacing w:after="0" w:line="252" w:lineRule="auto"/>
            </w:pPr>
            <w:r>
              <w:rPr>
                <w:rFonts w:eastAsia="Arial"/>
                <w:sz w:val="17"/>
              </w:rPr>
              <w:t>Comparable runtime summary</w:t>
            </w:r>
          </w:p>
        </w:tc>
      </w:tr>
      <w:tr w:rsidR="00CB1C27" w14:paraId="33733EE2" w14:textId="77777777">
        <w:trPr>
          <w:cantSplit/>
        </w:trPr>
        <w:tc>
          <w:tcPr>
            <w:tcW w:w="560" w:type="dxa"/>
            <w:vAlign w:val="center"/>
          </w:tcPr>
          <w:p w14:paraId="266A88FD" w14:textId="77777777" w:rsidR="00CB1C27" w:rsidRDefault="0023486C">
            <w:pPr>
              <w:spacing w:after="0" w:line="252" w:lineRule="auto"/>
              <w:jc w:val="center"/>
            </w:pPr>
            <w:r>
              <w:rPr>
                <w:rFonts w:eastAsia="Arial"/>
                <w:b/>
                <w:sz w:val="17"/>
              </w:rPr>
              <w:t>7</w:t>
            </w:r>
          </w:p>
        </w:tc>
        <w:tc>
          <w:tcPr>
            <w:tcW w:w="3820" w:type="dxa"/>
            <w:vAlign w:val="center"/>
          </w:tcPr>
          <w:p w14:paraId="601611EF" w14:textId="77777777" w:rsidR="00CB1C27" w:rsidRDefault="0023486C">
            <w:pPr>
              <w:spacing w:after="0" w:line="252" w:lineRule="auto"/>
            </w:pPr>
            <w:r>
              <w:rPr>
                <w:rFonts w:eastAsia="Arial"/>
                <w:sz w:val="17"/>
              </w:rPr>
              <w:t xml:space="preserve">Test the </w:t>
            </w:r>
            <w:r>
              <w:rPr>
                <w:rFonts w:eastAsia="Arial"/>
                <w:sz w:val="17"/>
              </w:rPr>
              <w:t>model with the selected constraints active and deactivated; verify solution equivalence and measure time savings.</w:t>
            </w:r>
          </w:p>
        </w:tc>
        <w:tc>
          <w:tcPr>
            <w:tcW w:w="1180" w:type="dxa"/>
            <w:vAlign w:val="center"/>
          </w:tcPr>
          <w:p w14:paraId="49BAF2F9" w14:textId="77777777" w:rsidR="00CB1C27" w:rsidRDefault="0023486C">
            <w:pPr>
              <w:spacing w:after="0" w:line="252" w:lineRule="auto"/>
              <w:jc w:val="center"/>
            </w:pPr>
            <w:r>
              <w:rPr>
                <w:rFonts w:eastAsia="Arial"/>
                <w:sz w:val="17"/>
              </w:rPr>
              <w:t>Tulio / Nacho</w:t>
            </w:r>
          </w:p>
        </w:tc>
        <w:tc>
          <w:tcPr>
            <w:tcW w:w="1350" w:type="dxa"/>
            <w:vAlign w:val="center"/>
          </w:tcPr>
          <w:p w14:paraId="24082741" w14:textId="77777777" w:rsidR="00CB1C27" w:rsidRDefault="0023486C">
            <w:pPr>
              <w:spacing w:after="0" w:line="252" w:lineRule="auto"/>
              <w:jc w:val="center"/>
            </w:pPr>
            <w:r>
              <w:rPr>
                <w:rFonts w:eastAsia="Arial"/>
                <w:sz w:val="17"/>
              </w:rPr>
              <w:t>Starting 14 Aug</w:t>
            </w:r>
          </w:p>
        </w:tc>
        <w:tc>
          <w:tcPr>
            <w:tcW w:w="2450" w:type="dxa"/>
            <w:vAlign w:val="center"/>
          </w:tcPr>
          <w:p w14:paraId="67D6B88F" w14:textId="77777777" w:rsidR="00CB1C27" w:rsidRDefault="0023486C">
            <w:pPr>
              <w:spacing w:after="0" w:line="252" w:lineRule="auto"/>
            </w:pPr>
            <w:r>
              <w:rPr>
                <w:rFonts w:eastAsia="Arial"/>
                <w:sz w:val="17"/>
              </w:rPr>
              <w:t>Controlled comparison of results and runtime</w:t>
            </w:r>
          </w:p>
        </w:tc>
      </w:tr>
      <w:tr w:rsidR="00CB1C27" w14:paraId="3E7AC313" w14:textId="77777777">
        <w:trPr>
          <w:cantSplit/>
        </w:trPr>
        <w:tc>
          <w:tcPr>
            <w:tcW w:w="560" w:type="dxa"/>
            <w:shd w:val="clear" w:color="auto" w:fill="FAFBFC"/>
            <w:vAlign w:val="center"/>
          </w:tcPr>
          <w:p w14:paraId="67404462" w14:textId="77777777" w:rsidR="00CB1C27" w:rsidRDefault="0023486C">
            <w:pPr>
              <w:spacing w:after="0" w:line="252" w:lineRule="auto"/>
              <w:jc w:val="center"/>
            </w:pPr>
            <w:r>
              <w:rPr>
                <w:rFonts w:eastAsia="Arial"/>
                <w:b/>
                <w:sz w:val="17"/>
              </w:rPr>
              <w:t>8</w:t>
            </w:r>
          </w:p>
        </w:tc>
        <w:tc>
          <w:tcPr>
            <w:tcW w:w="3820" w:type="dxa"/>
            <w:shd w:val="clear" w:color="auto" w:fill="FAFBFC"/>
            <w:vAlign w:val="center"/>
          </w:tcPr>
          <w:p w14:paraId="278C4D1A" w14:textId="77777777" w:rsidR="00CB1C27" w:rsidRDefault="0023486C">
            <w:pPr>
              <w:spacing w:after="0" w:line="252" w:lineRule="auto"/>
            </w:pPr>
            <w:r>
              <w:rPr>
                <w:rFonts w:eastAsia="Arial"/>
                <w:sz w:val="17"/>
              </w:rPr>
              <w:t xml:space="preserve">Run the complete-feeder rolling horizon and record total </w:t>
            </w:r>
            <w:r>
              <w:rPr>
                <w:rFonts w:eastAsia="Arial"/>
                <w:sz w:val="17"/>
              </w:rPr>
              <w:t>runtime, solver status, and numerical issues.</w:t>
            </w:r>
          </w:p>
        </w:tc>
        <w:tc>
          <w:tcPr>
            <w:tcW w:w="1180" w:type="dxa"/>
            <w:shd w:val="clear" w:color="auto" w:fill="FAFBFC"/>
            <w:vAlign w:val="center"/>
          </w:tcPr>
          <w:p w14:paraId="4C76AEB1" w14:textId="77777777" w:rsidR="00CB1C27" w:rsidRDefault="0023486C">
            <w:pPr>
              <w:spacing w:after="0" w:line="252" w:lineRule="auto"/>
              <w:jc w:val="center"/>
            </w:pPr>
            <w:r>
              <w:rPr>
                <w:rFonts w:eastAsia="Arial"/>
                <w:sz w:val="17"/>
              </w:rPr>
              <w:t>Nacho</w:t>
            </w:r>
          </w:p>
        </w:tc>
        <w:tc>
          <w:tcPr>
            <w:tcW w:w="1350" w:type="dxa"/>
            <w:shd w:val="clear" w:color="auto" w:fill="FAFBFC"/>
            <w:vAlign w:val="center"/>
          </w:tcPr>
          <w:p w14:paraId="0018AAC0" w14:textId="77777777" w:rsidR="00CB1C27" w:rsidRDefault="0023486C">
            <w:pPr>
              <w:spacing w:after="0" w:line="252" w:lineRule="auto"/>
              <w:jc w:val="center"/>
            </w:pPr>
            <w:r>
              <w:rPr>
                <w:rFonts w:eastAsia="Arial"/>
                <w:sz w:val="17"/>
              </w:rPr>
              <w:t>14 Aug / weekend</w:t>
            </w:r>
          </w:p>
        </w:tc>
        <w:tc>
          <w:tcPr>
            <w:tcW w:w="2450" w:type="dxa"/>
            <w:shd w:val="clear" w:color="auto" w:fill="FAFBFC"/>
            <w:vAlign w:val="center"/>
          </w:tcPr>
          <w:p w14:paraId="4D5B312F" w14:textId="77777777" w:rsidR="00CB1C27" w:rsidRDefault="0023486C">
            <w:pPr>
              <w:spacing w:after="0" w:line="252" w:lineRule="auto"/>
            </w:pPr>
            <w:r>
              <w:rPr>
                <w:rFonts w:eastAsia="Arial"/>
                <w:sz w:val="17"/>
              </w:rPr>
              <w:t>Full-feeder benchmark log</w:t>
            </w:r>
          </w:p>
        </w:tc>
      </w:tr>
      <w:tr w:rsidR="00CB1C27" w14:paraId="5D786654" w14:textId="77777777">
        <w:trPr>
          <w:cantSplit/>
        </w:trPr>
        <w:tc>
          <w:tcPr>
            <w:tcW w:w="560" w:type="dxa"/>
            <w:vAlign w:val="center"/>
          </w:tcPr>
          <w:p w14:paraId="069A7FB4" w14:textId="77777777" w:rsidR="00CB1C27" w:rsidRDefault="0023486C">
            <w:pPr>
              <w:spacing w:after="0" w:line="252" w:lineRule="auto"/>
              <w:jc w:val="center"/>
            </w:pPr>
            <w:r>
              <w:rPr>
                <w:rFonts w:eastAsia="Arial"/>
                <w:b/>
                <w:sz w:val="17"/>
              </w:rPr>
              <w:t>9</w:t>
            </w:r>
          </w:p>
        </w:tc>
        <w:tc>
          <w:tcPr>
            <w:tcW w:w="3820" w:type="dxa"/>
            <w:vAlign w:val="center"/>
          </w:tcPr>
          <w:p w14:paraId="7021E106" w14:textId="77777777" w:rsidR="00CB1C27" w:rsidRDefault="0023486C">
            <w:pPr>
              <w:spacing w:after="0" w:line="252" w:lineRule="auto"/>
            </w:pPr>
            <w:r>
              <w:rPr>
                <w:rFonts w:eastAsia="Arial"/>
                <w:sz w:val="17"/>
              </w:rPr>
              <w:t>Define the P3 sampling experiment, fairness metrics, feasibility criteria, and statistical reporting method.</w:t>
            </w:r>
          </w:p>
        </w:tc>
        <w:tc>
          <w:tcPr>
            <w:tcW w:w="1180" w:type="dxa"/>
            <w:vAlign w:val="center"/>
          </w:tcPr>
          <w:p w14:paraId="5EC28BB4" w14:textId="77777777" w:rsidR="00CB1C27" w:rsidRDefault="0023486C">
            <w:pPr>
              <w:spacing w:after="0" w:line="252" w:lineRule="auto"/>
              <w:jc w:val="center"/>
            </w:pPr>
            <w:r>
              <w:rPr>
                <w:rFonts w:eastAsia="Arial"/>
                <w:sz w:val="17"/>
              </w:rPr>
              <w:t>Tulio / Nacho</w:t>
            </w:r>
          </w:p>
        </w:tc>
        <w:tc>
          <w:tcPr>
            <w:tcW w:w="1350" w:type="dxa"/>
            <w:vAlign w:val="center"/>
          </w:tcPr>
          <w:p w14:paraId="68766137" w14:textId="77777777" w:rsidR="00CB1C27" w:rsidRDefault="0023486C">
            <w:pPr>
              <w:spacing w:after="0" w:line="252" w:lineRule="auto"/>
              <w:jc w:val="center"/>
            </w:pPr>
            <w:r>
              <w:rPr>
                <w:rFonts w:eastAsia="Arial"/>
                <w:sz w:val="17"/>
              </w:rPr>
              <w:t>After P3 formulation</w:t>
            </w:r>
          </w:p>
        </w:tc>
        <w:tc>
          <w:tcPr>
            <w:tcW w:w="2450" w:type="dxa"/>
            <w:vAlign w:val="center"/>
          </w:tcPr>
          <w:p w14:paraId="207C593E" w14:textId="77777777" w:rsidR="00CB1C27" w:rsidRDefault="0023486C">
            <w:pPr>
              <w:spacing w:after="0" w:line="252" w:lineRule="auto"/>
            </w:pPr>
            <w:r>
              <w:rPr>
                <w:rFonts w:eastAsia="Arial"/>
                <w:sz w:val="17"/>
              </w:rPr>
              <w:t>Validation protocol</w:t>
            </w:r>
          </w:p>
        </w:tc>
      </w:tr>
      <w:tr w:rsidR="00CB1C27" w14:paraId="3D391B4C" w14:textId="77777777">
        <w:trPr>
          <w:cantSplit/>
        </w:trPr>
        <w:tc>
          <w:tcPr>
            <w:tcW w:w="560" w:type="dxa"/>
            <w:shd w:val="clear" w:color="auto" w:fill="FAFBFC"/>
            <w:vAlign w:val="center"/>
          </w:tcPr>
          <w:p w14:paraId="6EFA974E" w14:textId="77777777" w:rsidR="00CB1C27" w:rsidRDefault="0023486C">
            <w:pPr>
              <w:spacing w:after="0" w:line="252" w:lineRule="auto"/>
              <w:jc w:val="center"/>
            </w:pPr>
            <w:r>
              <w:rPr>
                <w:rFonts w:eastAsia="Arial"/>
                <w:b/>
                <w:sz w:val="17"/>
              </w:rPr>
              <w:t>10</w:t>
            </w:r>
          </w:p>
        </w:tc>
        <w:tc>
          <w:tcPr>
            <w:tcW w:w="3820" w:type="dxa"/>
            <w:shd w:val="clear" w:color="auto" w:fill="FAFBFC"/>
            <w:vAlign w:val="center"/>
          </w:tcPr>
          <w:p w14:paraId="1E8B6FAB" w14:textId="77777777" w:rsidR="00CB1C27" w:rsidRDefault="0023486C">
            <w:pPr>
              <w:spacing w:after="0" w:line="252" w:lineRule="auto"/>
            </w:pPr>
            <w:r>
              <w:rPr>
                <w:rFonts w:eastAsia="Arial"/>
                <w:sz w:val="17"/>
              </w:rPr>
              <w:t>Create or organize the GitHub docs area and use the repository for manuscript, literature, formulation, and context files.</w:t>
            </w:r>
          </w:p>
        </w:tc>
        <w:tc>
          <w:tcPr>
            <w:tcW w:w="1180" w:type="dxa"/>
            <w:shd w:val="clear" w:color="auto" w:fill="FAFBFC"/>
            <w:vAlign w:val="center"/>
          </w:tcPr>
          <w:p w14:paraId="6647AEFD" w14:textId="77777777" w:rsidR="00CB1C27" w:rsidRDefault="0023486C">
            <w:pPr>
              <w:spacing w:after="0" w:line="252" w:lineRule="auto"/>
              <w:jc w:val="center"/>
            </w:pPr>
            <w:r>
              <w:rPr>
                <w:rFonts w:eastAsia="Arial"/>
                <w:sz w:val="17"/>
              </w:rPr>
              <w:t>Tulio / Nacho</w:t>
            </w:r>
          </w:p>
        </w:tc>
        <w:tc>
          <w:tcPr>
            <w:tcW w:w="1350" w:type="dxa"/>
            <w:shd w:val="clear" w:color="auto" w:fill="FAFBFC"/>
            <w:vAlign w:val="center"/>
          </w:tcPr>
          <w:p w14:paraId="6710FEC4" w14:textId="77777777" w:rsidR="00CB1C27" w:rsidRDefault="0023486C">
            <w:pPr>
              <w:spacing w:after="0" w:line="252" w:lineRule="auto"/>
              <w:jc w:val="center"/>
            </w:pPr>
            <w:r>
              <w:rPr>
                <w:rFonts w:eastAsia="Arial"/>
                <w:sz w:val="17"/>
              </w:rPr>
              <w:t>Immediate</w:t>
            </w:r>
          </w:p>
        </w:tc>
        <w:tc>
          <w:tcPr>
            <w:tcW w:w="2450" w:type="dxa"/>
            <w:shd w:val="clear" w:color="auto" w:fill="FAFBFC"/>
            <w:vAlign w:val="center"/>
          </w:tcPr>
          <w:p w14:paraId="120AA3C3" w14:textId="77777777" w:rsidR="00CB1C27" w:rsidRDefault="0023486C">
            <w:pPr>
              <w:spacing w:after="0" w:line="252" w:lineRule="auto"/>
            </w:pPr>
            <w:r>
              <w:rPr>
                <w:rFonts w:eastAsia="Arial"/>
                <w:sz w:val="17"/>
              </w:rPr>
              <w:t>Traceable shared workspace</w:t>
            </w:r>
          </w:p>
        </w:tc>
      </w:tr>
      <w:tr w:rsidR="00CB1C27" w14:paraId="74C86484" w14:textId="77777777">
        <w:trPr>
          <w:cantSplit/>
        </w:trPr>
        <w:tc>
          <w:tcPr>
            <w:tcW w:w="560" w:type="dxa"/>
            <w:vAlign w:val="center"/>
          </w:tcPr>
          <w:p w14:paraId="52D919EF" w14:textId="77777777" w:rsidR="00CB1C27" w:rsidRDefault="0023486C">
            <w:pPr>
              <w:spacing w:after="0" w:line="252" w:lineRule="auto"/>
              <w:jc w:val="center"/>
            </w:pPr>
            <w:r>
              <w:rPr>
                <w:rFonts w:eastAsia="Arial"/>
                <w:b/>
                <w:sz w:val="17"/>
              </w:rPr>
              <w:t>11</w:t>
            </w:r>
          </w:p>
        </w:tc>
        <w:tc>
          <w:tcPr>
            <w:tcW w:w="3820" w:type="dxa"/>
            <w:vAlign w:val="center"/>
          </w:tcPr>
          <w:p w14:paraId="6DC4D22B" w14:textId="77777777" w:rsidR="00CB1C27" w:rsidRDefault="0023486C">
            <w:pPr>
              <w:spacing w:after="0" w:line="252" w:lineRule="auto"/>
            </w:pPr>
            <w:r>
              <w:rPr>
                <w:rFonts w:eastAsia="Arial"/>
                <w:sz w:val="17"/>
              </w:rPr>
              <w:t xml:space="preserve">Share the philosophical fairness reflection </w:t>
            </w:r>
            <w:r>
              <w:rPr>
                <w:rFonts w:eastAsia="Arial"/>
                <w:sz w:val="17"/>
              </w:rPr>
              <w:t>document when the current draft is complete.</w:t>
            </w:r>
          </w:p>
        </w:tc>
        <w:tc>
          <w:tcPr>
            <w:tcW w:w="1180" w:type="dxa"/>
            <w:vAlign w:val="center"/>
          </w:tcPr>
          <w:p w14:paraId="32BFAE7D" w14:textId="77777777" w:rsidR="00CB1C27" w:rsidRDefault="0023486C">
            <w:pPr>
              <w:spacing w:after="0" w:line="252" w:lineRule="auto"/>
              <w:jc w:val="center"/>
            </w:pPr>
            <w:r>
              <w:rPr>
                <w:rFonts w:eastAsia="Arial"/>
                <w:sz w:val="17"/>
              </w:rPr>
              <w:t>Tulio</w:t>
            </w:r>
          </w:p>
        </w:tc>
        <w:tc>
          <w:tcPr>
            <w:tcW w:w="1350" w:type="dxa"/>
            <w:vAlign w:val="center"/>
          </w:tcPr>
          <w:p w14:paraId="7E95B66A" w14:textId="77777777" w:rsidR="00CB1C27" w:rsidRDefault="0023486C">
            <w:pPr>
              <w:spacing w:after="0" w:line="252" w:lineRule="auto"/>
              <w:jc w:val="center"/>
            </w:pPr>
            <w:r>
              <w:rPr>
                <w:rFonts w:eastAsia="Arial"/>
                <w:sz w:val="17"/>
              </w:rPr>
              <w:t>When ready</w:t>
            </w:r>
          </w:p>
        </w:tc>
        <w:tc>
          <w:tcPr>
            <w:tcW w:w="2450" w:type="dxa"/>
            <w:vAlign w:val="center"/>
          </w:tcPr>
          <w:p w14:paraId="50840BE0" w14:textId="77777777" w:rsidR="00CB1C27" w:rsidRDefault="0023486C">
            <w:pPr>
              <w:spacing w:after="0" w:line="252" w:lineRule="auto"/>
            </w:pPr>
            <w:r>
              <w:rPr>
                <w:rFonts w:eastAsia="Arial"/>
                <w:sz w:val="17"/>
              </w:rPr>
              <w:t>Additional fairness concepts for discussion</w:t>
            </w:r>
          </w:p>
        </w:tc>
      </w:tr>
      <w:tr w:rsidR="00CB1C27" w14:paraId="6F5DBA9D" w14:textId="77777777">
        <w:trPr>
          <w:cantSplit/>
        </w:trPr>
        <w:tc>
          <w:tcPr>
            <w:tcW w:w="560" w:type="dxa"/>
            <w:shd w:val="clear" w:color="auto" w:fill="FAFBFC"/>
            <w:vAlign w:val="center"/>
          </w:tcPr>
          <w:p w14:paraId="46C51B7B" w14:textId="77777777" w:rsidR="00CB1C27" w:rsidRDefault="0023486C">
            <w:pPr>
              <w:spacing w:after="0" w:line="252" w:lineRule="auto"/>
              <w:jc w:val="center"/>
            </w:pPr>
            <w:r>
              <w:rPr>
                <w:rFonts w:eastAsia="Arial"/>
                <w:b/>
                <w:sz w:val="17"/>
              </w:rPr>
              <w:t>12</w:t>
            </w:r>
          </w:p>
        </w:tc>
        <w:tc>
          <w:tcPr>
            <w:tcW w:w="3820" w:type="dxa"/>
            <w:shd w:val="clear" w:color="auto" w:fill="FAFBFC"/>
            <w:vAlign w:val="center"/>
          </w:tcPr>
          <w:p w14:paraId="12BC1D85" w14:textId="77777777" w:rsidR="00CB1C27" w:rsidRDefault="0023486C">
            <w:pPr>
              <w:spacing w:after="0" w:line="252" w:lineRule="auto"/>
            </w:pPr>
            <w:r>
              <w:rPr>
                <w:rFonts w:eastAsia="Arial"/>
                <w:sz w:val="17"/>
              </w:rPr>
              <w:t>Update the shared Overleaf project after the coauthor version is consolidated for review by Luis and Mariana.</w:t>
            </w:r>
          </w:p>
        </w:tc>
        <w:tc>
          <w:tcPr>
            <w:tcW w:w="1180" w:type="dxa"/>
            <w:shd w:val="clear" w:color="auto" w:fill="FAFBFC"/>
            <w:vAlign w:val="center"/>
          </w:tcPr>
          <w:p w14:paraId="55C53701" w14:textId="77777777" w:rsidR="00CB1C27" w:rsidRDefault="0023486C">
            <w:pPr>
              <w:spacing w:after="0" w:line="252" w:lineRule="auto"/>
              <w:jc w:val="center"/>
            </w:pPr>
            <w:r>
              <w:rPr>
                <w:rFonts w:eastAsia="Arial"/>
                <w:sz w:val="17"/>
              </w:rPr>
              <w:t>Tulio / Nacho</w:t>
            </w:r>
          </w:p>
        </w:tc>
        <w:tc>
          <w:tcPr>
            <w:tcW w:w="1350" w:type="dxa"/>
            <w:shd w:val="clear" w:color="auto" w:fill="FAFBFC"/>
            <w:vAlign w:val="center"/>
          </w:tcPr>
          <w:p w14:paraId="09DC0A57" w14:textId="77777777" w:rsidR="00CB1C27" w:rsidRDefault="0023486C">
            <w:pPr>
              <w:spacing w:after="0" w:line="252" w:lineRule="auto"/>
              <w:jc w:val="center"/>
            </w:pPr>
            <w:r>
              <w:rPr>
                <w:rFonts w:eastAsia="Arial"/>
                <w:sz w:val="17"/>
              </w:rPr>
              <w:t xml:space="preserve">Review </w:t>
            </w:r>
            <w:r>
              <w:rPr>
                <w:rFonts w:eastAsia="Arial"/>
                <w:sz w:val="17"/>
              </w:rPr>
              <w:t>checkpoint</w:t>
            </w:r>
          </w:p>
        </w:tc>
        <w:tc>
          <w:tcPr>
            <w:tcW w:w="2450" w:type="dxa"/>
            <w:shd w:val="clear" w:color="auto" w:fill="FAFBFC"/>
            <w:vAlign w:val="center"/>
          </w:tcPr>
          <w:p w14:paraId="59857170" w14:textId="77777777" w:rsidR="00CB1C27" w:rsidRDefault="0023486C">
            <w:pPr>
              <w:spacing w:after="0" w:line="252" w:lineRule="auto"/>
            </w:pPr>
            <w:r>
              <w:rPr>
                <w:rFonts w:eastAsia="Arial"/>
                <w:sz w:val="17"/>
              </w:rPr>
              <w:t>Supervisor-ready manuscript version</w:t>
            </w:r>
          </w:p>
        </w:tc>
      </w:tr>
    </w:tbl>
    <w:p w14:paraId="79CD0C92" w14:textId="77777777" w:rsidR="00CB1C27" w:rsidRDefault="0023486C">
      <w:pPr>
        <w:pStyle w:val="Heading1"/>
      </w:pPr>
      <w:r>
        <w:t>7. Open Questions for the Next Meeting</w:t>
      </w:r>
    </w:p>
    <w:p w14:paraId="4A6840D6" w14:textId="77777777" w:rsidR="00CB1C27" w:rsidRDefault="0023486C">
      <w:pPr>
        <w:numPr>
          <w:ilvl w:val="0"/>
          <w:numId w:val="1"/>
        </w:numPr>
      </w:pPr>
      <w:r>
        <w:rPr>
          <w:rFonts w:eastAsia="Arial"/>
          <w:sz w:val="21"/>
        </w:rPr>
        <w:t>What exact sentence best states the gap between fairness in DOE allocation and fairness in activated-service disaggregation?</w:t>
      </w:r>
    </w:p>
    <w:p w14:paraId="1C8C3F11" w14:textId="77777777" w:rsidR="00CB1C27" w:rsidRDefault="0023486C">
      <w:pPr>
        <w:numPr>
          <w:ilvl w:val="0"/>
          <w:numId w:val="1"/>
        </w:numPr>
      </w:pPr>
      <w:r>
        <w:rPr>
          <w:rFonts w:eastAsia="Arial"/>
          <w:sz w:val="21"/>
        </w:rPr>
        <w:t xml:space="preserve">How will P3 represent fairness across </w:t>
      </w:r>
      <w:r>
        <w:rPr>
          <w:rFonts w:eastAsia="Arial"/>
          <w:sz w:val="21"/>
        </w:rPr>
        <w:t>aggregators and prosumers, and which metrics will be reported?</w:t>
      </w:r>
    </w:p>
    <w:p w14:paraId="4B5C232D" w14:textId="77777777" w:rsidR="00CB1C27" w:rsidRDefault="0023486C">
      <w:pPr>
        <w:numPr>
          <w:ilvl w:val="0"/>
          <w:numId w:val="1"/>
        </w:numPr>
      </w:pPr>
      <w:r>
        <w:rPr>
          <w:rFonts w:eastAsia="Arial"/>
          <w:sz w:val="21"/>
        </w:rPr>
        <w:t>How should service points be sampled, and what confidence or reliability measure is appropriate?</w:t>
      </w:r>
    </w:p>
    <w:p w14:paraId="28BE5170" w14:textId="77777777" w:rsidR="00CB1C27" w:rsidRDefault="0023486C">
      <w:pPr>
        <w:numPr>
          <w:ilvl w:val="0"/>
          <w:numId w:val="1"/>
        </w:numPr>
      </w:pPr>
      <w:r>
        <w:rPr>
          <w:rFonts w:eastAsia="Arial"/>
          <w:sz w:val="21"/>
        </w:rPr>
        <w:lastRenderedPageBreak/>
        <w:t>Which constraints can be safely deactivated, and what evidence is needed to show that the releva</w:t>
      </w:r>
      <w:r>
        <w:rPr>
          <w:rFonts w:eastAsia="Arial"/>
          <w:sz w:val="21"/>
        </w:rPr>
        <w:t>nt feasible set and optimal solutions are preserved?</w:t>
      </w:r>
    </w:p>
    <w:p w14:paraId="2846F23B" w14:textId="77777777" w:rsidR="00CB1C27" w:rsidRDefault="0023486C">
      <w:pPr>
        <w:numPr>
          <w:ilvl w:val="0"/>
          <w:numId w:val="1"/>
        </w:numPr>
      </w:pPr>
      <w:r>
        <w:rPr>
          <w:rFonts w:eastAsia="Arial"/>
          <w:sz w:val="21"/>
        </w:rPr>
        <w:t>Do the measured runtimes justify a complete-feeder implementation, transformer decomposition, or HPC execution?</w:t>
      </w:r>
    </w:p>
    <w:p w14:paraId="44C79248" w14:textId="77777777" w:rsidR="00CB1C27" w:rsidRDefault="0023486C">
      <w:pPr>
        <w:numPr>
          <w:ilvl w:val="0"/>
          <w:numId w:val="1"/>
        </w:numPr>
      </w:pPr>
      <w:r>
        <w:rPr>
          <w:rFonts w:eastAsia="Arial"/>
          <w:sz w:val="21"/>
        </w:rPr>
        <w:t>Which three or four figures are essential to communicate the complete P1-P2-P3 workflow and</w:t>
      </w:r>
      <w:r>
        <w:rPr>
          <w:rFonts w:eastAsia="Arial"/>
          <w:sz w:val="21"/>
        </w:rPr>
        <w:t xml:space="preserve"> results?</w:t>
      </w:r>
    </w:p>
    <w:p w14:paraId="3743AD9F" w14:textId="77777777" w:rsidR="00CB1C27" w:rsidRDefault="0023486C">
      <w:pPr>
        <w:pStyle w:val="Heading1"/>
      </w:pPr>
      <w:r>
        <w:t>8. Proposed Agenda for the Next Checkpoint</w:t>
      </w:r>
    </w:p>
    <w:p w14:paraId="3A6881F5" w14:textId="77777777" w:rsidR="00CB1C27" w:rsidRDefault="0023486C">
      <w:pPr>
        <w:numPr>
          <w:ilvl w:val="0"/>
          <w:numId w:val="1"/>
        </w:numPr>
      </w:pPr>
      <w:r>
        <w:rPr>
          <w:rFonts w:eastAsia="Arial"/>
          <w:sz w:val="21"/>
        </w:rPr>
        <w:t>Review the constraint-deactivation and complete-feeder runtime results.</w:t>
      </w:r>
    </w:p>
    <w:p w14:paraId="564E5BA2" w14:textId="77777777" w:rsidR="00CB1C27" w:rsidRDefault="0023486C">
      <w:pPr>
        <w:numPr>
          <w:ilvl w:val="0"/>
          <w:numId w:val="1"/>
        </w:numPr>
      </w:pPr>
      <w:r>
        <w:rPr>
          <w:rFonts w:eastAsia="Arial"/>
          <w:sz w:val="21"/>
        </w:rPr>
        <w:t>Approve the revised introduction gap statement and merge the two literature lists.</w:t>
      </w:r>
    </w:p>
    <w:p w14:paraId="171E4892" w14:textId="77777777" w:rsidR="00CB1C27" w:rsidRDefault="0023486C">
      <w:pPr>
        <w:numPr>
          <w:ilvl w:val="0"/>
          <w:numId w:val="1"/>
        </w:numPr>
      </w:pPr>
      <w:r>
        <w:rPr>
          <w:rFonts w:eastAsia="Arial"/>
          <w:sz w:val="21"/>
        </w:rPr>
        <w:t>Lock the P3 formulation, sampling design, and fa</w:t>
      </w:r>
      <w:r>
        <w:rPr>
          <w:rFonts w:eastAsia="Arial"/>
          <w:sz w:val="21"/>
        </w:rPr>
        <w:t>irness metrics.</w:t>
      </w:r>
    </w:p>
    <w:p w14:paraId="7FD2C008" w14:textId="77777777" w:rsidR="00CB1C27" w:rsidRDefault="0023486C">
      <w:pPr>
        <w:numPr>
          <w:ilvl w:val="0"/>
          <w:numId w:val="1"/>
        </w:numPr>
      </w:pPr>
      <w:r>
        <w:rPr>
          <w:rFonts w:eastAsia="Arial"/>
          <w:sz w:val="21"/>
        </w:rPr>
        <w:t>Review the updated P1-P2-P3 framework figure and final figure plan.</w:t>
      </w:r>
    </w:p>
    <w:p w14:paraId="531DFF8C" w14:textId="77777777" w:rsidR="00CB1C27" w:rsidRDefault="0023486C">
      <w:pPr>
        <w:numPr>
          <w:ilvl w:val="0"/>
          <w:numId w:val="1"/>
        </w:numPr>
      </w:pPr>
      <w:r>
        <w:rPr>
          <w:rFonts w:eastAsia="Arial"/>
          <w:sz w:val="21"/>
        </w:rPr>
        <w:t>Confirm the GitHub-to-Overleaf review workflow and the next manuscript checkpoint.</w:t>
      </w:r>
    </w:p>
    <w:tbl>
      <w:tblPr>
        <w:tblW w:w="9360" w:type="dxa"/>
        <w:tblInd w:w="180" w:type="dxa"/>
        <w:tblBorders>
          <w:top w:val="nil"/>
          <w:left w:val="nil"/>
          <w:bottom w:val="nil"/>
          <w:right w:val="nil"/>
          <w:insideH w:val="nil"/>
          <w:insideV w:val="nil"/>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CB1C27" w14:paraId="2463A395" w14:textId="77777777">
        <w:trPr>
          <w:cantSplit/>
        </w:trPr>
        <w:tc>
          <w:tcPr>
            <w:tcW w:w="9360" w:type="dxa"/>
            <w:tcBorders>
              <w:left w:val="single" w:sz="20" w:space="0" w:color="2E74B5"/>
            </w:tcBorders>
            <w:shd w:val="clear" w:color="auto" w:fill="E8EEF5"/>
            <w:tcMar>
              <w:top w:w="140" w:type="dxa"/>
              <w:left w:w="180" w:type="dxa"/>
              <w:bottom w:w="140" w:type="dxa"/>
              <w:right w:w="180" w:type="dxa"/>
            </w:tcMar>
          </w:tcPr>
          <w:p w14:paraId="40E17573" w14:textId="77777777" w:rsidR="00CB1C27" w:rsidRDefault="0023486C">
            <w:pPr>
              <w:spacing w:after="0" w:line="276" w:lineRule="auto"/>
            </w:pPr>
            <w:r>
              <w:rPr>
                <w:rFonts w:eastAsia="Arial"/>
                <w:b/>
                <w:color w:val="2E74B5"/>
                <w:sz w:val="19"/>
              </w:rPr>
              <w:t xml:space="preserve">OUTCOME STATEMENT FOR SUPERVISORS  </w:t>
            </w:r>
            <w:r>
              <w:rPr>
                <w:rFonts w:eastAsia="Arial"/>
                <w:b/>
                <w:color w:val="0B2545"/>
              </w:rPr>
              <w:t xml:space="preserve">The proposed framework coordinates </w:t>
            </w:r>
            <w:r>
              <w:rPr>
                <w:rFonts w:eastAsia="Arial"/>
                <w:b/>
                <w:color w:val="0B2545"/>
              </w:rPr>
              <w:t>grid-feasible flexibility over a rolling horizon by first establishing a self-consumption trajectory, then computing the PCC Feasible Operation Region, and finally disaggregating a selected service point through a fairness-aware dispatch across aggregators</w:t>
            </w:r>
            <w:r>
              <w:rPr>
                <w:rFonts w:eastAsia="Arial"/>
                <w:b/>
                <w:color w:val="0B2545"/>
              </w:rPr>
              <w:t xml:space="preserve"> and prosumers.</w:t>
            </w:r>
          </w:p>
        </w:tc>
      </w:tr>
    </w:tbl>
    <w:p w14:paraId="1D8746B3" w14:textId="77777777" w:rsidR="00CB1C27" w:rsidRDefault="00CB1C27">
      <w:pPr>
        <w:spacing w:after="60"/>
      </w:pPr>
    </w:p>
    <w:p w14:paraId="69B00403" w14:textId="77777777" w:rsidR="00CB1C27" w:rsidRDefault="0023486C">
      <w:pPr>
        <w:spacing w:before="80" w:after="80" w:line="252" w:lineRule="auto"/>
      </w:pPr>
      <w:r>
        <w:rPr>
          <w:rFonts w:eastAsia="Arial"/>
          <w:b/>
          <w:color w:val="5B6573"/>
          <w:sz w:val="18"/>
        </w:rPr>
        <w:t xml:space="preserve">Source note: </w:t>
      </w:r>
      <w:r>
        <w:rPr>
          <w:rFonts w:eastAsia="Arial"/>
          <w:i/>
          <w:color w:val="5B6573"/>
          <w:sz w:val="18"/>
        </w:rPr>
        <w:t>Prepared from the 13 August 2026 meeting transcript. Transcription errors were corrected where the intended technical meaning was clear. Unverified expectations are explicitly identified as working hypotheses.</w:t>
      </w:r>
    </w:p>
    <w:sectPr w:rsidR="00CB1C2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5877" w14:textId="77777777" w:rsidR="0023486C" w:rsidRDefault="0023486C">
      <w:pPr>
        <w:spacing w:after="0" w:line="240" w:lineRule="auto"/>
      </w:pPr>
      <w:r>
        <w:separator/>
      </w:r>
    </w:p>
  </w:endnote>
  <w:endnote w:type="continuationSeparator" w:id="0">
    <w:p w14:paraId="64029AEC" w14:textId="77777777" w:rsidR="0023486C" w:rsidRDefault="00234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nil"/>
        <w:right w:val="nil"/>
        <w:insideH w:val="nil"/>
        <w:insideV w:val="nil"/>
      </w:tblBorders>
      <w:tblLayout w:type="fixed"/>
      <w:tblCellMar>
        <w:top w:w="80" w:type="dxa"/>
        <w:left w:w="120" w:type="dxa"/>
        <w:bottom w:w="80" w:type="dxa"/>
        <w:right w:w="120" w:type="dxa"/>
      </w:tblCellMar>
      <w:tblLook w:val="04A0" w:firstRow="1" w:lastRow="0" w:firstColumn="1" w:lastColumn="0" w:noHBand="0" w:noVBand="1"/>
    </w:tblPr>
    <w:tblGrid>
      <w:gridCol w:w="6500"/>
      <w:gridCol w:w="2860"/>
    </w:tblGrid>
    <w:tr w:rsidR="00CB1C27" w14:paraId="63BB3D2D" w14:textId="77777777">
      <w:tc>
        <w:tcPr>
          <w:tcW w:w="6500" w:type="dxa"/>
          <w:tcMar>
            <w:top w:w="0" w:type="dxa"/>
            <w:left w:w="0" w:type="dxa"/>
            <w:bottom w:w="0" w:type="dxa"/>
            <w:right w:w="0" w:type="dxa"/>
          </w:tcMar>
          <w:vAlign w:val="center"/>
        </w:tcPr>
        <w:p w14:paraId="20532B09" w14:textId="77777777" w:rsidR="00CB1C27" w:rsidRDefault="0023486C">
          <w:pPr>
            <w:spacing w:after="0"/>
          </w:pPr>
          <w:r>
            <w:rPr>
              <w:rFonts w:eastAsia="Arial"/>
              <w:color w:val="5B6573"/>
              <w:sz w:val="17"/>
            </w:rPr>
            <w:t>Tulio Coura &amp; Ignacio Pérez Ortiz</w:t>
          </w:r>
        </w:p>
      </w:tc>
      <w:tc>
        <w:tcPr>
          <w:tcW w:w="2860" w:type="dxa"/>
          <w:tcMar>
            <w:top w:w="0" w:type="dxa"/>
            <w:left w:w="0" w:type="dxa"/>
            <w:bottom w:w="0" w:type="dxa"/>
            <w:right w:w="0" w:type="dxa"/>
          </w:tcMar>
          <w:vAlign w:val="center"/>
        </w:tcPr>
        <w:p w14:paraId="31A6B6B0" w14:textId="77777777" w:rsidR="00CB1C27" w:rsidRDefault="0023486C">
          <w:pPr>
            <w:spacing w:after="0"/>
            <w:jc w:val="right"/>
          </w:pPr>
          <w:r>
            <w:rPr>
              <w:rFonts w:eastAsia="Arial"/>
              <w:color w:val="5B6573"/>
              <w:sz w:val="17"/>
            </w:rPr>
            <w:t xml:space="preserve">Page </w:t>
          </w:r>
          <w:r>
            <w:rPr>
              <w:rFonts w:eastAsia="Arial"/>
              <w:color w:val="5B6573"/>
              <w:sz w:val="18"/>
            </w:rPr>
            <w:fldChar w:fldCharType="begin"/>
          </w:r>
          <w:r>
            <w:rPr>
              <w:rFonts w:eastAsia="Arial"/>
              <w:color w:val="5B6573"/>
              <w:sz w:val="18"/>
            </w:rPr>
            <w:instrText xml:space="preserve"> PAGE </w:instrText>
          </w:r>
          <w:r w:rsidR="00A5763F">
            <w:rPr>
              <w:rFonts w:eastAsia="Arial"/>
              <w:color w:val="5B6573"/>
              <w:sz w:val="18"/>
            </w:rPr>
            <w:fldChar w:fldCharType="separate"/>
          </w:r>
          <w:r w:rsidR="00A5763F">
            <w:rPr>
              <w:rFonts w:eastAsia="Arial"/>
              <w:noProof/>
              <w:color w:val="5B6573"/>
              <w:sz w:val="18"/>
            </w:rPr>
            <w:t>1</w:t>
          </w:r>
          <w:r>
            <w:rPr>
              <w:rFonts w:eastAsia="Arial"/>
              <w:color w:val="5B6573"/>
              <w:sz w:val="18"/>
            </w:rPr>
            <w:fldChar w:fldCharType="end"/>
          </w:r>
        </w:p>
      </w:tc>
    </w:tr>
  </w:tbl>
  <w:p w14:paraId="2126CCE1" w14:textId="77777777" w:rsidR="00CB1C27" w:rsidRDefault="00CB1C27">
    <w:pPr>
      <w:spacing w:after="0"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564C1" w14:textId="77777777" w:rsidR="0023486C" w:rsidRDefault="0023486C">
      <w:pPr>
        <w:spacing w:after="0" w:line="240" w:lineRule="auto"/>
      </w:pPr>
      <w:r>
        <w:separator/>
      </w:r>
    </w:p>
  </w:footnote>
  <w:footnote w:type="continuationSeparator" w:id="0">
    <w:p w14:paraId="0D504EDA" w14:textId="77777777" w:rsidR="0023486C" w:rsidRDefault="00234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nil"/>
        <w:right w:val="nil"/>
        <w:insideH w:val="nil"/>
        <w:insideV w:val="nil"/>
      </w:tblBorders>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CB1C27" w14:paraId="0B4DDA78" w14:textId="77777777">
      <w:tc>
        <w:tcPr>
          <w:tcW w:w="4680" w:type="dxa"/>
          <w:tcMar>
            <w:top w:w="0" w:type="dxa"/>
            <w:left w:w="0" w:type="dxa"/>
            <w:bottom w:w="0" w:type="dxa"/>
            <w:right w:w="0" w:type="dxa"/>
          </w:tcMar>
          <w:vAlign w:val="center"/>
        </w:tcPr>
        <w:p w14:paraId="5F86F65A" w14:textId="77777777" w:rsidR="00CB1C27" w:rsidRDefault="0023486C">
          <w:pPr>
            <w:spacing w:after="0"/>
          </w:pPr>
          <w:r>
            <w:rPr>
              <w:rFonts w:eastAsia="Arial"/>
              <w:b/>
              <w:color w:val="2E74B5"/>
              <w:sz w:val="17"/>
            </w:rPr>
            <w:t>MEETING OUTCOME BRIEF</w:t>
          </w:r>
        </w:p>
      </w:tc>
      <w:tc>
        <w:tcPr>
          <w:tcW w:w="4680" w:type="dxa"/>
          <w:tcMar>
            <w:top w:w="0" w:type="dxa"/>
            <w:left w:w="0" w:type="dxa"/>
            <w:bottom w:w="0" w:type="dxa"/>
            <w:right w:w="0" w:type="dxa"/>
          </w:tcMar>
          <w:vAlign w:val="center"/>
        </w:tcPr>
        <w:p w14:paraId="57A5B642" w14:textId="77777777" w:rsidR="00CB1C27" w:rsidRDefault="0023486C">
          <w:pPr>
            <w:spacing w:after="0"/>
            <w:jc w:val="right"/>
          </w:pPr>
          <w:r>
            <w:rPr>
              <w:rFonts w:eastAsia="Arial"/>
              <w:color w:val="5B6573"/>
              <w:sz w:val="16"/>
            </w:rPr>
            <w:t>GRID-FEASIBLE FLEXIBILITY COORDINATION</w:t>
          </w:r>
        </w:p>
      </w:tc>
    </w:tr>
  </w:tbl>
  <w:p w14:paraId="44C2F4ED" w14:textId="77777777" w:rsidR="00CB1C27" w:rsidRDefault="00CB1C27">
    <w:pPr>
      <w:spacing w:after="0"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66584F"/>
    <w:multiLevelType w:val="singleLevel"/>
    <w:tmpl w:val="19AE930C"/>
    <w:lvl w:ilvl="0">
      <w:start w:val="1"/>
      <w:numFmt w:val="decimal"/>
      <w:pStyle w:val="ListBullet"/>
      <w:lvlText w:val="%1."/>
      <w:lvlJc w:val="left"/>
      <w:pPr>
        <w:tabs>
          <w:tab w:val="num" w:pos="720"/>
        </w:tabs>
        <w:spacing w:after="160" w:line="280" w:lineRule="auto"/>
        <w:ind w:left="720" w:hanging="360"/>
      </w:pPr>
      <w:rPr>
        <w:rFonts w:ascii="Arial" w:hAnsi="Arial"/>
      </w:rPr>
    </w:lvl>
  </w:abstractNum>
  <w:abstractNum w:abstractNumId="10" w15:restartNumberingAfterBreak="0">
    <w:nsid w:val="5D2762DC"/>
    <w:multiLevelType w:val="singleLevel"/>
    <w:tmpl w:val="B512E47E"/>
    <w:lvl w:ilvl="0">
      <w:start w:val="1"/>
      <w:numFmt w:val="bullet"/>
      <w:lvlText w:val="•"/>
      <w:lvlJc w:val="left"/>
      <w:pPr>
        <w:tabs>
          <w:tab w:val="num" w:pos="720"/>
        </w:tabs>
        <w:spacing w:after="160" w:line="280" w:lineRule="auto"/>
        <w:ind w:left="720" w:hanging="360"/>
      </w:pPr>
      <w:rPr>
        <w:rFonts w:ascii="Arial" w:hAnsi="Arial"/>
      </w:r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86C"/>
    <w:rsid w:val="0029639D"/>
    <w:rsid w:val="00326F90"/>
    <w:rsid w:val="00A5763F"/>
    <w:rsid w:val="00AA1D8D"/>
    <w:rsid w:val="00B47730"/>
    <w:rsid w:val="00CB0664"/>
    <w:rsid w:val="00CB1C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59474"/>
  <w14:defaultImageDpi w14:val="300"/>
  <w15:docId w15:val="{285AFBA7-894A-46ED-BB88-D7F058BE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color w:val="1B2430"/>
    </w:rPr>
  </w:style>
  <w:style w:type="paragraph" w:styleId="Heading1">
    <w:name w:val="heading 1"/>
    <w:basedOn w:val="Normal"/>
    <w:next w:val="Normal"/>
    <w:link w:val="Heading1Char"/>
    <w:uiPriority w:val="9"/>
    <w:qFormat/>
    <w:rsid w:val="00FC693F"/>
    <w:pPr>
      <w:keepNext/>
      <w:keepLines/>
      <w:spacing w:before="24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etingTitle">
    <w:name w:val="Meeting Title"/>
    <w:pPr>
      <w:keepNext/>
      <w:spacing w:after="60"/>
    </w:pPr>
    <w:rPr>
      <w:rFonts w:ascii="Arial" w:hAnsi="Arial"/>
      <w:b/>
      <w:color w:val="0B2545"/>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Tulio-Nacho Meeting Outcome Brief - 13 August 2026</dc:title>
  <dc:subject>Paper framing, methodology, computational tests, and collaboration workflow</dc:subject>
  <dc:creator>Tulio Coura</dc:creator>
  <cp:keywords>FOR, fairness, disaggregation, rolling horizon, meeting outcomes</cp:keywords>
  <dc:description>Prepared from the Tulio-Nacho follow-up meeting transcript.</dc:description>
  <cp:lastModifiedBy>Tulio</cp:lastModifiedBy>
  <cp:revision>2</cp:revision>
  <dcterms:created xsi:type="dcterms:W3CDTF">2026-08-13T21:42:00Z</dcterms:created>
  <dcterms:modified xsi:type="dcterms:W3CDTF">2026-08-13T21:42:00Z</dcterms:modified>
  <cp:category/>
</cp:coreProperties>
</file>