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6.png" ContentType="image/png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MGT</w:t>
      </w:r>
      <w:r>
        <w:t xml:space="preserve"> </w:t>
      </w:r>
      <w:r>
        <w:t xml:space="preserve">403</w:t>
      </w:r>
      <w:r>
        <w:t xml:space="preserve"> </w:t>
      </w:r>
      <w:r>
        <w:t xml:space="preserve">—</w:t>
      </w:r>
      <w:r>
        <w:t xml:space="preserve"> </w:t>
      </w:r>
      <w:r>
        <w:t xml:space="preserve">Problem</w:t>
      </w:r>
      <w:r>
        <w:t xml:space="preserve"> </w:t>
      </w:r>
      <w:r>
        <w:t xml:space="preserve">Set</w:t>
      </w:r>
      <w:r>
        <w:t xml:space="preserve"> </w:t>
      </w:r>
      <w:r>
        <w:t xml:space="preserve">5,</w:t>
      </w:r>
      <w:r>
        <w:t xml:space="preserve"> </w:t>
      </w:r>
      <w:r>
        <w:t xml:space="preserve">Question</w:t>
      </w:r>
      <w:r>
        <w:t xml:space="preserve"> </w:t>
      </w:r>
      <w:r>
        <w:t xml:space="preserve">3:</w:t>
      </w:r>
      <w:r>
        <w:t xml:space="preserve"> </w:t>
      </w:r>
      <w:r>
        <w:t xml:space="preserve">Cost</w:t>
      </w:r>
      <w:r>
        <w:t xml:space="preserve"> </w:t>
      </w:r>
      <w:r>
        <w:t xml:space="preserve">Drivers</w:t>
      </w:r>
      <w:r>
        <w:t xml:space="preserve"> </w:t>
      </w:r>
      <w:r>
        <w:t xml:space="preserve">in</w:t>
      </w:r>
      <w:r>
        <w:t xml:space="preserve"> </w:t>
      </w:r>
      <w:r>
        <w:t xml:space="preserve">Childcare</w:t>
      </w:r>
    </w:p>
    <w:p>
      <w:pPr>
        <w:pStyle w:val="Subtitle"/>
      </w:pPr>
      <w:r>
        <w:t xml:space="preserve">Team:</w:t>
      </w:r>
      <w:r>
        <w:t xml:space="preserve"> </w:t>
      </w:r>
      <w:r>
        <w:t xml:space="preserve">Ignacio</w:t>
      </w:r>
      <w:r>
        <w:t xml:space="preserve"> </w:t>
      </w:r>
      <w:r>
        <w:t xml:space="preserve">Sanchez</w:t>
      </w:r>
      <w:r>
        <w:t xml:space="preserve"> </w:t>
      </w:r>
      <w:r>
        <w:t xml:space="preserve">Urdaneta</w:t>
      </w:r>
      <w:r>
        <w:t xml:space="preserve"> </w:t>
      </w:r>
      <w:r>
        <w:t xml:space="preserve">·</w:t>
      </w:r>
      <w:r>
        <w:t xml:space="preserve"> </w:t>
      </w:r>
      <w:r>
        <w:t xml:space="preserve">Beck</w:t>
      </w:r>
      <w:r>
        <w:t xml:space="preserve"> </w:t>
      </w:r>
      <w:r>
        <w:t xml:space="preserve">Jamilov</w:t>
      </w:r>
      <w:r>
        <w:t xml:space="preserve"> </w:t>
      </w:r>
      <w:r>
        <w:t xml:space="preserve">·</w:t>
      </w:r>
      <w:r>
        <w:t xml:space="preserve"> </w:t>
      </w:r>
      <w:r>
        <w:t xml:space="preserve">Claudia</w:t>
      </w:r>
      <w:r>
        <w:t xml:space="preserve"> </w:t>
      </w:r>
      <w:r>
        <w:t xml:space="preserve">Palacios</w:t>
      </w:r>
      <w:r>
        <w:t xml:space="preserve"> </w:t>
      </w:r>
      <w:r>
        <w:t xml:space="preserve">Surco</w:t>
      </w:r>
      <w:r>
        <w:t xml:space="preserve"> </w:t>
      </w:r>
      <w:r>
        <w:t xml:space="preserve">·</w:t>
      </w:r>
      <w:r>
        <w:t xml:space="preserve"> </w:t>
      </w:r>
      <w:r>
        <w:t xml:space="preserve">Gary</w:t>
      </w:r>
      <w:r>
        <w:t xml:space="preserve"> </w:t>
      </w:r>
      <w:r>
        <w:t xml:space="preserve">Chen</w:t>
      </w:r>
    </w:p>
    <w:p>
      <w:pPr>
        <w:pStyle w:val="FirstParagraph"/>
      </w:pPr>
      <w:r>
        <w:rPr>
          <w:b/>
        </w:rPr>
        <w:t xml:space="preserve">Data.</w:t>
      </w:r>
      <w:r>
        <w:t xml:space="preserve"> </w:t>
      </w:r>
      <w:r>
        <w:t xml:space="preserve">Census American Community Survey (ACS) 5-year county estimates, 2015–2022, pulled with the Census API;</w:t>
      </w:r>
      <w:r>
        <w:t xml:space="preserve"> </w:t>
      </w:r>
      <w:r>
        <w:t xml:space="preserve">BLS Occupational Employment and Wage Statistics (OEWS) mean annual wage of</w:t>
      </w:r>
      <w:r>
        <w:t xml:space="preserve"> </w:t>
      </w:r>
      <w:r>
        <w:rPr>
          <w:b/>
        </w:rPr>
        <w:t xml:space="preserve">childcare workers (SOC 39-9011)</w:t>
      </w:r>
      <w:r>
        <w:t xml:space="preserve"> </w:t>
      </w:r>
      <w:r>
        <w:t xml:space="preserve">by</w:t>
      </w:r>
      <w:r>
        <w:t xml:space="preserve"> </w:t>
      </w:r>
      <w:r>
        <w:t xml:space="preserve">metropolitan/nonmetropolitan area, 2015–2022; the course crosswalk</w:t>
      </w:r>
      <w:r>
        <w:t xml:space="preserve"> </w:t>
      </w:r>
      <w:r>
        <w:rPr>
          <w:rStyle w:val="VerbatimChar"/>
        </w:rPr>
        <w:t xml:space="preserve">county_oews_crosswalk.csv</w:t>
      </w:r>
      <w:r>
        <w:t xml:space="preserve">; CPI-U (BLS series</w:t>
      </w:r>
      <w:r>
        <w:t xml:space="preserve"> </w:t>
      </w:r>
      <w:r>
        <w:t xml:space="preserve">CUUR0000SA0, annual averages) to convert to constant 2022 dollars. All code, data and the prompt history are in the</w:t>
      </w:r>
      <w:r>
        <w:t xml:space="preserve"> </w:t>
      </w:r>
      <w:r>
        <w:t xml:space="preserve">project repository,</w:t>
      </w:r>
      <w:r>
        <w:t xml:space="preserve"> </w:t>
      </w:r>
      <w:hyperlink r:id="rId20">
        <w:r>
          <w:rPr>
            <w:rStyle w:val="Hyperlink"/>
          </w:rPr>
          <w:t xml:space="preserve">https://github.com/ignaciosanur/mgt403-childcare-project-green-cohort-7b</w:t>
        </w:r>
      </w:hyperlink>
      <w:r>
        <w:t xml:space="preserve">.</w:t>
      </w:r>
    </w:p>
    <w:p>
      <w:pPr>
        <w:pStyle w:val="BodyText"/>
      </w:pPr>
      <w:r>
        <w:rPr>
          <w:b/>
        </w:rPr>
        <w:t xml:space="preserve">Methods.</w:t>
      </w:r>
      <w:r>
        <w:t xml:space="preserve"> </w:t>
      </w:r>
      <w:r>
        <w:t xml:space="preserve">The unit of analysis is the</w:t>
      </w:r>
      <w:r>
        <w:t xml:space="preserve"> </w:t>
      </w:r>
      <w:r>
        <w:rPr>
          <w:b/>
        </w:rPr>
        <w:t xml:space="preserve">metro county</w:t>
      </w:r>
      <w:r>
        <w:t xml:space="preserve"> </w:t>
      </w:r>
      <w:r>
        <w:t xml:space="preserve">(year × county), because the project’s goal is to</w:t>
      </w:r>
      <w:r>
        <w:t xml:space="preserve"> </w:t>
      </w:r>
      <w:r>
        <w:t xml:space="preserve">recommend counties. This holds even though OEWS wages are published per metro area, so every county in an area</w:t>
      </w:r>
      <w:r>
        <w:t xml:space="preserve"> </w:t>
      </w:r>
      <w:r>
        <w:t xml:space="preserve">receives that area’s wage. 95% confidence intervals use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t>±</m:t>
        </m:r>
        <m:r>
          <m:t>1.96</m:t>
        </m:r>
        <m:r>
          <m:t> </m:t>
        </m:r>
        <m:r>
          <m:t>s</m:t>
        </m:r>
        <m:r>
          <m:t>/</m:t>
        </m:r>
        <m:rad>
          <m:radPr>
            <m:degHide m:val="1"/>
          </m:radPr>
          <m:deg/>
          <m:e>
            <m:r>
              <m:t>n</m:t>
            </m:r>
          </m:e>
        </m:rad>
      </m:oMath>
      <w:r>
        <w:t xml:space="preserve">; tests use</w:t>
      </w:r>
      <w:r>
        <w:t xml:space="preserve"> </w:t>
      </w:r>
      <w:r>
        <w:rPr>
          <w:i/>
        </w:rPr>
        <w:t xml:space="preserve">t</w:t>
      </w:r>
      <w:r>
        <w:t xml:space="preserve"> </w:t>
      </w:r>
      <w:r>
        <w:t xml:space="preserve">statistics. We</w:t>
      </w:r>
      <w:r>
        <w:t xml:space="preserve"> </w:t>
      </w:r>
      <w:r>
        <w:t xml:space="preserve">treat the metro counties as a sample (standard deviations with divisor</w:t>
      </w:r>
      <w:r>
        <w:t xml:space="preserve"> </w:t>
      </w:r>
      <m:oMath>
        <m:r>
          <m:t>n</m:t>
        </m:r>
        <m:r>
          <m:t>−</m:t>
        </m:r>
        <m:r>
          <m:t>1</m:t>
        </m:r>
      </m:oMath>
      <w:r>
        <w:t xml:space="preserve">).</w:t>
      </w:r>
    </w:p>
    <w:bookmarkStart w:id="21" w:name="acs-5-year-estimates-20152022"/>
    <w:p>
      <w:pPr>
        <w:pStyle w:val="Heading1"/>
      </w:pPr>
      <w:r>
        <w:t xml:space="preserve">1. ACS 5-year estimates, 2015–2022</w:t>
      </w:r>
    </w:p>
    <w:p>
      <w:pPr>
        <w:pStyle w:val="FirstParagraph"/>
      </w:pPr>
      <w:r>
        <w:t xml:space="preserve">We queried the Census API (</w:t>
      </w:r>
      <w:r>
        <w:rPr>
          <w:rStyle w:val="VerbatimChar"/>
        </w:rPr>
        <w:t xml:space="preserve">acs/acs5</w:t>
      </w:r>
      <w:r>
        <w:t xml:space="preserve">,</w:t>
      </w:r>
      <w:r>
        <w:t xml:space="preserve"> </w:t>
      </w:r>
      <w:r>
        <w:rPr>
          <w:rStyle w:val="VerbatimChar"/>
        </w:rPr>
        <w:t xml:space="preserve">for=county:*</w:t>
      </w:r>
      <w:r>
        <w:t xml:space="preserve">,</w:t>
      </w:r>
      <w:r>
        <w:t xml:space="preserve"> </w:t>
      </w:r>
      <w:r>
        <w:rPr>
          <w:rStyle w:val="VerbatimChar"/>
        </w:rPr>
        <w:t xml:space="preserve">in=state:*</w:t>
      </w:r>
      <w:r>
        <w:t xml:space="preserve">) for each vintage 2015–2022 and built the</w:t>
      </w:r>
      <w:r>
        <w:t xml:space="preserve"> </w:t>
      </w:r>
      <w:r>
        <w:t xml:space="preserve">derived variables exactly as specified:</w:t>
      </w:r>
    </w:p>
    <w:tbl>
      <w:tblPr>
        <w:tblStyle w:val="Table"/>
        <w:tblW w:type="pct" w:w="0.0"/>
        <w:tblLook w:firstRow="1" w:lastRow="0" w:firstColumn="0" w:lastColumn="0" w:noHBand="0" w:noVBand="0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Derived variable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ACS construction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per_capita_income</w:t>
            </w:r>
          </w:p>
        </w:tc>
        <w:tc>
          <w:p>
            <w:pPr>
              <w:pStyle w:val="Compact"/>
              <w:jc w:val="left"/>
            </w:pPr>
            <w:r>
              <w:t xml:space="preserve">B19301_001E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pop_total</w:t>
            </w:r>
          </w:p>
        </w:tc>
        <w:tc>
          <w:p>
            <w:pPr>
              <w:pStyle w:val="Compact"/>
              <w:jc w:val="left"/>
            </w:pPr>
            <w:r>
              <w:t xml:space="preserve">B01001_001E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kids_under6</w:t>
            </w:r>
          </w:p>
        </w:tc>
        <w:tc>
          <w:p>
            <w:pPr>
              <w:pStyle w:val="Compact"/>
              <w:jc w:val="left"/>
            </w:pPr>
            <w:r>
              <w:t xml:space="preserve">B23008_002E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kids_under6_allpar_lf</w:t>
            </w:r>
          </w:p>
        </w:tc>
        <w:tc>
          <w:p>
            <w:pPr>
              <w:pStyle w:val="Compact"/>
              <w:jc w:val="left"/>
            </w:pPr>
            <w:r>
              <w:t xml:space="preserve">B23008_004E + B23008_010E + B23008_013E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median_gross_rent</w:t>
            </w:r>
          </w:p>
        </w:tc>
        <w:tc>
          <w:p>
            <w:pPr>
              <w:pStyle w:val="Compact"/>
              <w:jc w:val="left"/>
            </w:pPr>
            <w:r>
              <w:t xml:space="preserve">B25064_001E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female_college_share</w:t>
            </w:r>
          </w:p>
        </w:tc>
        <w:tc>
          <w:p>
            <w:pPr>
              <w:pStyle w:val="Compact"/>
              <w:jc w:val="left"/>
            </w:pPr>
            <w:r>
              <w:t xml:space="preserve">(B15002_032E + 033E + 034E + 035E) / B15002_019E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female_ftyr_share</w:t>
            </w:r>
          </w:p>
        </w:tc>
        <w:tc>
          <w:p>
            <w:pPr>
              <w:pStyle w:val="Compact"/>
              <w:jc w:val="left"/>
            </w:pPr>
            <w:r>
              <w:t xml:space="preserve">B23022_029E / B23022_026E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under6_share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kids_under6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pop_total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under6_careneed_share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kids_under6_allpar_lf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pop_total</w:t>
            </w:r>
          </w:p>
        </w:tc>
      </w:tr>
    </w:tbl>
    <w:p>
      <w:pPr>
        <w:pStyle w:val="BodyText"/>
      </w:pPr>
      <w:r>
        <w:t xml:space="preserve">The result covers 3,220 counties per year in 2015–2019, 3,221 in 2020–2021 and 3,222 in 2022 (25,764 county-years).</w:t>
      </w:r>
      <w:r>
        <w:t xml:space="preserve"> </w:t>
      </w:r>
      <w:r>
        <w:t xml:space="preserve">FIPS codes are kept as 5-character text, there are no duplicate county-years, all shares lie in [0, 1], and blanks</w:t>
      </w:r>
      <w:r>
        <w:t xml:space="preserve"> </w:t>
      </w:r>
      <w:r>
        <w:t xml:space="preserve">are rare (median gross rent is missing for 38 county-years, mostly very small rural counties). The year of an ACS</w:t>
      </w:r>
      <w:r>
        <w:t xml:space="preserve"> </w:t>
      </w:r>
      <w:r>
        <w:t xml:space="preserve">5-year file is its final survey year; e.g. the 2022 file pools 2018–2022 responses, and it is matched to 2022 data.</w:t>
      </w:r>
    </w:p>
    <w:bookmarkEnd w:id="21"/>
    <w:bookmarkStart w:id="22" w:name="oews-childcare-worker-wages-20152022"/>
    <w:p>
      <w:pPr>
        <w:pStyle w:val="Heading1"/>
      </w:pPr>
      <w:r>
        <w:t xml:space="preserve">2. OEWS childcare-worker wages, 2015–2022</w:t>
      </w:r>
    </w:p>
    <w:p>
      <w:pPr>
        <w:pStyle w:val="FirstParagraph"/>
      </w:pPr>
      <w:r>
        <w:t xml:space="preserve">From each</w:t>
      </w:r>
      <w:r>
        <w:t xml:space="preserve"> </w:t>
      </w:r>
      <w:r>
        <w:rPr>
          <w:rStyle w:val="VerbatimChar"/>
        </w:rPr>
        <w:t xml:space="preserve">oesmYYma.zip</w:t>
      </w:r>
      <w:r>
        <w:t xml:space="preserve"> </w:t>
      </w:r>
      <w:r>
        <w:t xml:space="preserve">file we read the metropolitan (</w:t>
      </w:r>
      <w:r>
        <w:rPr>
          <w:rStyle w:val="VerbatimChar"/>
        </w:rPr>
        <w:t xml:space="preserve">MSA_M20YY_dl.xlsx</w:t>
      </w:r>
      <w:r>
        <w:t xml:space="preserve">) and nonmetropolitan</w:t>
      </w:r>
      <w:r>
        <w:t xml:space="preserve"> </w:t>
      </w:r>
      <w:r>
        <w:t xml:space="preserve">(</w:t>
      </w:r>
      <w:r>
        <w:rPr>
          <w:rStyle w:val="VerbatimChar"/>
        </w:rPr>
        <w:t xml:space="preserve">BOS_M20YY_dl.xlsx</w:t>
      </w:r>
      <w:r>
        <w:t xml:space="preserve">) workbooks and, for 2015–2017, the aggregate-MSA workbook (</w:t>
      </w:r>
      <w:r>
        <w:rPr>
          <w:rStyle w:val="VerbatimChar"/>
        </w:rPr>
        <w:t xml:space="preserve">aMSA_M20YY_dl.xlsx</w:t>
      </w:r>
      <w:r>
        <w:t xml:space="preserve">), since in</w:t>
      </w:r>
      <w:r>
        <w:t xml:space="preserve"> </w:t>
      </w:r>
      <w:r>
        <w:t xml:space="preserve">those years BLS reports the 11 largest metro areas in the MSA file only by metropolitan division. Those 11 areas (New</w:t>
      </w:r>
      <w:r>
        <w:t xml:space="preserve"> </w:t>
      </w:r>
      <w:r>
        <w:t xml:space="preserve">York, Los Angeles, Chicago, Dallas, Washington, Miami, Philadelphia, Boston, San Francisco, Detroit and Seattle) cover</w:t>
      </w:r>
      <w:r>
        <w:t xml:space="preserve"> </w:t>
      </w:r>
      <w:r>
        <w:t xml:space="preserve">114 metro counties (9.2%); without the aMSA file, they would have no wage in 2015–2017. From 2018 BLS publishes these</w:t>
      </w:r>
      <w:r>
        <w:t xml:space="preserve"> </w:t>
      </w:r>
      <w:r>
        <w:t xml:space="preserve">areas in the MSA file and no aMSA file exists. We kept occupation</w:t>
      </w:r>
      <w:r>
        <w:t xml:space="preserve"> </w:t>
      </w:r>
      <w:r>
        <w:rPr>
          <w:b/>
        </w:rPr>
        <w:t xml:space="preserve">39-9011 Childcare Workers</w:t>
      </w:r>
      <w:r>
        <w:t xml:space="preserve">, variable</w:t>
      </w:r>
      <w:r>
        <w:t xml:space="preserve"> </w:t>
      </w:r>
      <w:r>
        <w:rPr>
          <w:rStyle w:val="VerbatimChar"/>
        </w:rPr>
        <w:t xml:space="preserve">A_MEAN</w:t>
      </w:r>
      <w:r>
        <w:t xml:space="preserve"> </w:t>
      </w:r>
      <w:r>
        <w:t xml:space="preserve">(mean annual wage, nominal $). The area code was zero-padded to 7 characters (e.g. </w:t>
      </w:r>
      <w:r>
        <w:rPr>
          <w:rStyle w:val="VerbatimChar"/>
        </w:rPr>
        <w:t xml:space="preserve">10180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0010180</w:t>
      </w:r>
      <w:r>
        <w:t xml:space="preserve">), so metro areas begin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00</w:t>
      </w:r>
      <w:r>
        <w:t xml:space="preserve">. Cells that BLS suppresses (</w:t>
      </w:r>
      <w:r>
        <w:rPr>
          <w:rStyle w:val="VerbatimChar"/>
        </w:rPr>
        <w:t xml:space="preserve">*</w:t>
      </w:r>
      <w:r>
        <w:t xml:space="preserve">) are set to missing.</w:t>
      </w:r>
    </w:p>
    <w:tbl>
      <w:tblPr>
        <w:tblStyle w:val="Table"/>
        <w:tblW w:type="pct" w:w="0.0"/>
        <w:tblLook w:firstRow="1" w:lastRow="0" w:firstColumn="0" w:lastColumn="0" w:noHBand="0" w:noVBand="0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Year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2015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2016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2017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2018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2019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2020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2021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2022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Metro areas with a 39-9011 row</w:t>
            </w:r>
          </w:p>
        </w:tc>
        <w:tc>
          <w:p>
            <w:pPr>
              <w:pStyle w:val="Compact"/>
              <w:jc w:val="left"/>
            </w:pPr>
            <w:r>
              <w:t xml:space="preserve">426</w:t>
            </w:r>
          </w:p>
        </w:tc>
        <w:tc>
          <w:p>
            <w:pPr>
              <w:pStyle w:val="Compact"/>
              <w:jc w:val="left"/>
            </w:pPr>
            <w:r>
              <w:t xml:space="preserve">426</w:t>
            </w:r>
          </w:p>
        </w:tc>
        <w:tc>
          <w:p>
            <w:pPr>
              <w:pStyle w:val="Compact"/>
              <w:jc w:val="left"/>
            </w:pPr>
            <w:r>
              <w:t xml:space="preserve">428</w:t>
            </w:r>
          </w:p>
        </w:tc>
        <w:tc>
          <w:p>
            <w:pPr>
              <w:pStyle w:val="Compact"/>
              <w:jc w:val="left"/>
            </w:pPr>
            <w:r>
              <w:t xml:space="preserve">392</w:t>
            </w:r>
          </w:p>
        </w:tc>
        <w:tc>
          <w:p>
            <w:pPr>
              <w:pStyle w:val="Compact"/>
              <w:jc w:val="left"/>
            </w:pPr>
            <w:r>
              <w:t xml:space="preserve">392</w:t>
            </w:r>
          </w:p>
        </w:tc>
        <w:tc>
          <w:p>
            <w:pPr>
              <w:pStyle w:val="Compact"/>
              <w:jc w:val="left"/>
            </w:pPr>
            <w:r>
              <w:t xml:space="preserve">384</w:t>
            </w:r>
          </w:p>
        </w:tc>
        <w:tc>
          <w:p>
            <w:pPr>
              <w:pStyle w:val="Compact"/>
              <w:jc w:val="left"/>
            </w:pPr>
            <w:r>
              <w:t xml:space="preserve">389</w:t>
            </w:r>
          </w:p>
        </w:tc>
        <w:tc>
          <w:p>
            <w:pPr>
              <w:pStyle w:val="Compact"/>
              <w:jc w:val="left"/>
            </w:pPr>
            <w:r>
              <w:t xml:space="preserve">384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… of which from the aMSA file</w:t>
            </w:r>
          </w:p>
        </w:tc>
        <w:tc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p>
            <w:pPr>
              <w:pStyle w:val="Compact"/>
              <w:jc w:val="left"/>
            </w:pPr>
            <w:r>
              <w:t xml:space="preserve">–</w:t>
            </w:r>
          </w:p>
        </w:tc>
        <w:tc>
          <w:p>
            <w:pPr>
              <w:pStyle w:val="Compact"/>
              <w:jc w:val="left"/>
            </w:pPr>
            <w:r>
              <w:t xml:space="preserve">–</w:t>
            </w:r>
          </w:p>
        </w:tc>
        <w:tc>
          <w:p>
            <w:pPr>
              <w:pStyle w:val="Compact"/>
              <w:jc w:val="left"/>
            </w:pPr>
            <w:r>
              <w:t xml:space="preserve">–</w:t>
            </w:r>
          </w:p>
        </w:tc>
        <w:tc>
          <w:p>
            <w:pPr>
              <w:pStyle w:val="Compact"/>
              <w:jc w:val="left"/>
            </w:pPr>
            <w:r>
              <w:t xml:space="preserve">–</w:t>
            </w:r>
          </w:p>
        </w:tc>
        <w:tc>
          <w:p>
            <w:pPr>
              <w:pStyle w:val="Compact"/>
              <w:jc w:val="left"/>
            </w:pPr>
            <w:r>
              <w:t xml:space="preserve">–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Nonmetro areas with a 39-9011 row</w:t>
            </w:r>
          </w:p>
        </w:tc>
        <w:tc>
          <w:p>
            <w:pPr>
              <w:pStyle w:val="Compact"/>
              <w:jc w:val="left"/>
            </w:pPr>
            <w:r>
              <w:t xml:space="preserve">157</w:t>
            </w:r>
          </w:p>
        </w:tc>
        <w:tc>
          <w:p>
            <w:pPr>
              <w:pStyle w:val="Compact"/>
              <w:jc w:val="left"/>
            </w:pPr>
            <w:r>
              <w:t xml:space="preserve">157</w:t>
            </w:r>
          </w:p>
        </w:tc>
        <w:tc>
          <w:p>
            <w:pPr>
              <w:pStyle w:val="Compact"/>
              <w:jc w:val="left"/>
            </w:pPr>
            <w:r>
              <w:t xml:space="preserve">158</w:t>
            </w:r>
          </w:p>
        </w:tc>
        <w:tc>
          <w:p>
            <w:pPr>
              <w:pStyle w:val="Compact"/>
              <w:jc w:val="left"/>
            </w:pPr>
            <w:r>
              <w:t xml:space="preserve">133</w:t>
            </w:r>
          </w:p>
        </w:tc>
        <w:tc>
          <w:p>
            <w:pPr>
              <w:pStyle w:val="Compact"/>
              <w:jc w:val="left"/>
            </w:pPr>
            <w:r>
              <w:t xml:space="preserve">132</w:t>
            </w:r>
          </w:p>
        </w:tc>
        <w:tc>
          <w:p>
            <w:pPr>
              <w:pStyle w:val="Compact"/>
              <w:jc w:val="left"/>
            </w:pPr>
            <w:r>
              <w:t xml:space="preserve">133</w:t>
            </w:r>
          </w:p>
        </w:tc>
        <w:tc>
          <w:p>
            <w:pPr>
              <w:pStyle w:val="Compact"/>
              <w:jc w:val="left"/>
            </w:pPr>
            <w:r>
              <w:t xml:space="preserve">135</w:t>
            </w:r>
          </w:p>
        </w:tc>
        <w:tc>
          <w:p>
            <w:pPr>
              <w:pStyle w:val="Compact"/>
              <w:jc w:val="left"/>
            </w:pPr>
            <w:r>
              <w:t xml:space="preserve">135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Suppressed metro wages (</w:t>
            </w:r>
            <w:r>
              <w:rPr>
                <w:rStyle w:val="VerbatimChar"/>
              </w:rPr>
              <w:t xml:space="preserve">*</w:t>
            </w:r>
            <w:r>
              <w:t xml:space="preserve">)</w:t>
            </w:r>
          </w:p>
        </w:tc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</w:tr>
    </w:tbl>
    <w:bookmarkEnd w:id="22"/>
    <w:bookmarkStart w:id="23" w:name="Xde80b0a3b73bac02a2a422dde6fcf01a92a25f9"/>
    <w:p>
      <w:pPr>
        <w:pStyle w:val="Heading1"/>
      </w:pPr>
      <w:r>
        <w:t xml:space="preserve">3. Merging wages and ACS data to metro counties</w:t>
      </w:r>
    </w:p>
    <w:p>
      <w:pPr>
        <w:pStyle w:val="FirstParagraph"/>
      </w:pPr>
      <w:r>
        <w:t xml:space="preserve">We joined OEWS wages to counties on</w:t>
      </w:r>
      <w:r>
        <w:t xml:space="preserve"> </w:t>
      </w:r>
      <w:r>
        <w:rPr>
          <w:b/>
        </w:rPr>
        <w:t xml:space="preserve">[year,</w:t>
      </w:r>
      <w:r>
        <w:rPr>
          <w:b/>
        </w:rPr>
        <w:t xml:space="preserve"> </w:t>
      </w:r>
      <w:r>
        <w:rPr>
          <w:rStyle w:val="VerbatimChar"/>
          <w:b/>
        </w:rPr>
        <w:t xml:space="preserve">oews_area</w:t>
      </w:r>
      <w:r>
        <w:rPr>
          <w:b/>
        </w:rPr>
        <w:t xml:space="preserve">]</w:t>
      </w:r>
      <w:r>
        <w:t xml:space="preserve"> </w:t>
      </w:r>
      <w:r>
        <w:t xml:space="preserve">using the year-specific crosswalk, attached the ACS</w:t>
      </w:r>
      <w:r>
        <w:t xml:space="preserve"> </w:t>
      </w:r>
      <w:r>
        <w:t xml:space="preserve">variables on [year, county FIPS], labelled each county with its metro area (</w:t>
      </w:r>
      <w:r>
        <w:rPr>
          <w:rStyle w:val="VerbatimChar"/>
        </w:rPr>
        <w:t xml:space="preserve">area_title</w:t>
      </w:r>
      <w:r>
        <w:t xml:space="preserve"> </w:t>
      </w:r>
      <w:r>
        <w:t xml:space="preserve">from the crosswalk), and</w:t>
      </w:r>
      <w:r>
        <w:t xml:space="preserve"> </w:t>
      </w:r>
      <w:r>
        <w:t xml:space="preserve">kept only counties in an OEWS metropolitan area (</w:t>
      </w:r>
      <w:r>
        <w:rPr>
          <w:rStyle w:val="VerbatimChar"/>
        </w:rPr>
        <w:t xml:space="preserve">oews_area</w:t>
      </w:r>
      <w:r>
        <w:t xml:space="preserve"> </w:t>
      </w:r>
      <w:r>
        <w:t xml:space="preserve">begins with</w:t>
      </w:r>
      <w:r>
        <w:t xml:space="preserve"> </w:t>
      </w:r>
      <w:r>
        <w:rPr>
          <w:rStyle w:val="VerbatimChar"/>
        </w:rPr>
        <w:t xml:space="preserve">00</w:t>
      </w:r>
      <w:r>
        <w:t xml:space="preserve">). The result is identified by</w:t>
      </w:r>
      <w:r>
        <w:t xml:space="preserve"> </w:t>
      </w:r>
      <w:r>
        <w:t xml:space="preserve">year × county (</w:t>
      </w:r>
      <w:r>
        <w:rPr>
          <w:rStyle w:val="VerbatimChar"/>
        </w:rPr>
        <w:t xml:space="preserve">ps5_output/county_year_metro_2015_2022.csv</w:t>
      </w:r>
      <w:r>
        <w:t xml:space="preserve">).</w:t>
      </w:r>
    </w:p>
    <w:tbl>
      <w:tblPr>
        <w:tblStyle w:val="Table"/>
        <w:tblW w:type="pct" w:w="0.0"/>
        <w:tblLook w:firstRow="1" w:lastRow="0" w:firstColumn="0" w:lastColumn="0" w:noHBand="0" w:noVBand="0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Year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2015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2016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2017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2018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2019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2020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2021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2022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Metro counties</w:t>
            </w:r>
          </w:p>
        </w:tc>
        <w:tc>
          <w:p>
            <w:pPr>
              <w:pStyle w:val="Compact"/>
              <w:jc w:val="left"/>
            </w:pPr>
            <w:r>
              <w:t xml:space="preserve">1,233</w:t>
            </w:r>
          </w:p>
        </w:tc>
        <w:tc>
          <w:p>
            <w:pPr>
              <w:pStyle w:val="Compact"/>
              <w:jc w:val="left"/>
            </w:pPr>
            <w:r>
              <w:t xml:space="preserve">1,233</w:t>
            </w:r>
          </w:p>
        </w:tc>
        <w:tc>
          <w:p>
            <w:pPr>
              <w:pStyle w:val="Compact"/>
              <w:jc w:val="left"/>
            </w:pPr>
            <w:r>
              <w:t xml:space="preserve">1,234</w:t>
            </w:r>
          </w:p>
        </w:tc>
        <w:tc>
          <w:p>
            <w:pPr>
              <w:pStyle w:val="Compact"/>
              <w:jc w:val="left"/>
            </w:pPr>
            <w:r>
              <w:t xml:space="preserve">1,233</w:t>
            </w:r>
          </w:p>
        </w:tc>
        <w:tc>
          <w:p>
            <w:pPr>
              <w:pStyle w:val="Compact"/>
              <w:jc w:val="left"/>
            </w:pPr>
            <w:r>
              <w:t xml:space="preserve">1,235</w:t>
            </w:r>
          </w:p>
        </w:tc>
        <w:tc>
          <w:p>
            <w:pPr>
              <w:pStyle w:val="Compact"/>
              <w:jc w:val="left"/>
            </w:pPr>
            <w:r>
              <w:t xml:space="preserve">1,235</w:t>
            </w:r>
          </w:p>
        </w:tc>
        <w:tc>
          <w:p>
            <w:pPr>
              <w:pStyle w:val="Compact"/>
              <w:jc w:val="left"/>
            </w:pPr>
            <w:r>
              <w:t xml:space="preserve">1,235</w:t>
            </w:r>
          </w:p>
        </w:tc>
        <w:tc>
          <w:p>
            <w:pPr>
              <w:pStyle w:val="Compact"/>
              <w:jc w:val="left"/>
            </w:pPr>
            <w:r>
              <w:t xml:space="preserve">1,235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Missing childcare wage</w:t>
            </w:r>
          </w:p>
        </w:tc>
        <w:tc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p>
            <w:pPr>
              <w:pStyle w:val="Compact"/>
              <w:jc w:val="left"/>
            </w:pPr>
            <w:r>
              <w:t xml:space="preserve">20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% missing</w:t>
            </w:r>
          </w:p>
        </w:tc>
        <w:tc>
          <w:p>
            <w:pPr>
              <w:pStyle w:val="Compact"/>
              <w:jc w:val="left"/>
            </w:pPr>
            <w:r>
              <w:t xml:space="preserve">0.9%</w:t>
            </w:r>
          </w:p>
        </w:tc>
        <w:tc>
          <w:p>
            <w:pPr>
              <w:pStyle w:val="Compact"/>
              <w:jc w:val="left"/>
            </w:pPr>
            <w:r>
              <w:t xml:space="preserve">1.1%</w:t>
            </w:r>
          </w:p>
        </w:tc>
        <w:tc>
          <w:p>
            <w:pPr>
              <w:pStyle w:val="Compact"/>
              <w:jc w:val="left"/>
            </w:pPr>
            <w:r>
              <w:t xml:space="preserve">0.8%</w:t>
            </w:r>
          </w:p>
        </w:tc>
        <w:tc>
          <w:p>
            <w:pPr>
              <w:pStyle w:val="Compact"/>
              <w:jc w:val="left"/>
            </w:pPr>
            <w:r>
              <w:t xml:space="preserve">0.4%</w:t>
            </w:r>
          </w:p>
        </w:tc>
        <w:tc>
          <w:p>
            <w:pPr>
              <w:pStyle w:val="Compact"/>
              <w:jc w:val="left"/>
            </w:pPr>
            <w:r>
              <w:t xml:space="preserve">0.5%</w:t>
            </w:r>
          </w:p>
        </w:tc>
        <w:tc>
          <w:p>
            <w:pPr>
              <w:pStyle w:val="Compact"/>
              <w:jc w:val="left"/>
            </w:pPr>
            <w:r>
              <w:t xml:space="preserve">1.6%</w:t>
            </w:r>
          </w:p>
        </w:tc>
        <w:tc>
          <w:p>
            <w:pPr>
              <w:pStyle w:val="Compact"/>
              <w:jc w:val="left"/>
            </w:pPr>
            <w:r>
              <w:t xml:space="preserve">1.1%</w:t>
            </w:r>
          </w:p>
        </w:tc>
        <w:tc>
          <w:p>
            <w:pPr>
              <w:pStyle w:val="Compact"/>
              <w:jc w:val="left"/>
            </w:pPr>
            <w:r>
              <w:t xml:space="preserve">1.6%</w:t>
            </w:r>
          </w:p>
        </w:tc>
      </w:tr>
    </w:tbl>
    <w:p>
      <w:pPr>
        <w:pStyle w:val="BodyText"/>
      </w:pPr>
      <w:r>
        <w:rPr>
          <w:b/>
        </w:rPr>
        <w:t xml:space="preserve">Sanity check passed:</w:t>
      </w:r>
      <w:r>
        <w:t xml:space="preserve"> </w:t>
      </w:r>
      <w:r>
        <w:t xml:space="preserve">0.4–1.6% of metro counties lack a wage, in line with the roughly 1% the assignment</w:t>
      </w:r>
      <w:r>
        <w:t xml:space="preserve"> </w:t>
      </w:r>
      <w:r>
        <w:t xml:space="preserve">expects, so the crosswalk merge worked. In 2022 the missing wages come from 12 metro areas for which BLS publishes</w:t>
      </w:r>
      <w:r>
        <w:t xml:space="preserve"> </w:t>
      </w:r>
      <w:r>
        <w:t xml:space="preserve">no 39-9011 estimate (Arecibo, Guayama and Mayagüez PR; Pine Bluff AR; Yuma AZ; Madera CA; Homosassa Springs FL;</w:t>
      </w:r>
      <w:r>
        <w:t xml:space="preserve"> </w:t>
      </w:r>
      <w:r>
        <w:t xml:space="preserve">Gadsden AL; Columbus IN; Bremerton-Silverdale WA; Fond du Lac and Janesville-Beloit WI).</w:t>
      </w:r>
    </w:p>
    <w:bookmarkEnd w:id="23"/>
    <w:bookmarkStart w:id="25" w:name="predictors-in-2022"/>
    <w:p>
      <w:pPr>
        <w:pStyle w:val="Heading1"/>
      </w:pPr>
      <w:r>
        <w:t xml:space="preserve">4. Predictors in 2022</w:t>
      </w:r>
    </w:p>
    <w:tbl>
      <w:tblPr>
        <w:tblStyle w:val="Table"/>
        <w:tblW w:type="pct" w:w="0.0"/>
        <w:tblLook w:firstRow="1" w:lastRow="0" w:firstColumn="0" w:lastColumn="0" w:noHBand="0" w:noVBand="0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Predictor (metro counties, 2022)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Mean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Childcare-worker mean annual wage (OEWS 39-9011)</w:t>
            </w:r>
          </w:p>
        </w:tc>
        <w:tc>
          <w:p>
            <w:pPr>
              <w:pStyle w:val="Compact"/>
              <w:jc w:val="left"/>
            </w:pPr>
            <w:r>
              <w:t xml:space="preserve">1,215</w:t>
            </w:r>
          </w:p>
        </w:tc>
        <w:tc>
          <w:p>
            <w:pPr>
              <w:pStyle w:val="Compact"/>
              <w:jc w:val="left"/>
            </w:pPr>
            <w:r>
              <w:t xml:space="preserve">$27,373</w:t>
            </w:r>
          </w:p>
        </w:tc>
        <w:tc>
          <w:p>
            <w:pPr>
              <w:pStyle w:val="Compact"/>
              <w:jc w:val="left"/>
            </w:pPr>
            <w:r>
              <w:t xml:space="preserve">$4,337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Per-capita income</w:t>
            </w:r>
          </w:p>
        </w:tc>
        <w:tc>
          <w:p>
            <w:pPr>
              <w:pStyle w:val="Compact"/>
              <w:jc w:val="left"/>
            </w:pPr>
            <w:r>
              <w:t xml:space="preserve">1,228</w:t>
            </w:r>
          </w:p>
        </w:tc>
        <w:tc>
          <w:p>
            <w:pPr>
              <w:pStyle w:val="Compact"/>
              <w:jc w:val="left"/>
            </w:pPr>
            <w:r>
              <w:t xml:space="preserve">$36,156</w:t>
            </w:r>
          </w:p>
        </w:tc>
        <w:tc>
          <w:p>
            <w:pPr>
              <w:pStyle w:val="Compact"/>
              <w:jc w:val="left"/>
            </w:pPr>
            <w:r>
              <w:t xml:space="preserve">$10,504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Total population</w:t>
            </w:r>
          </w:p>
        </w:tc>
        <w:tc>
          <w:p>
            <w:pPr>
              <w:pStyle w:val="Compact"/>
              <w:jc w:val="left"/>
            </w:pPr>
            <w:r>
              <w:t xml:space="preserve">1,228</w:t>
            </w:r>
          </w:p>
        </w:tc>
        <w:tc>
          <w:p>
            <w:pPr>
              <w:pStyle w:val="Compact"/>
              <w:jc w:val="left"/>
            </w:pPr>
            <w:r>
              <w:t xml:space="preserve">231,863</w:t>
            </w:r>
          </w:p>
        </w:tc>
        <w:tc>
          <w:p>
            <w:pPr>
              <w:pStyle w:val="Compact"/>
              <w:jc w:val="left"/>
            </w:pPr>
            <w:r>
              <w:t xml:space="preserve">506,835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Own children under 6</w:t>
            </w:r>
          </w:p>
        </w:tc>
        <w:tc>
          <w:p>
            <w:pPr>
              <w:pStyle w:val="Compact"/>
              <w:jc w:val="left"/>
            </w:pPr>
            <w:r>
              <w:t xml:space="preserve">1,228</w:t>
            </w:r>
          </w:p>
        </w:tc>
        <w:tc>
          <w:p>
            <w:pPr>
              <w:pStyle w:val="Compact"/>
              <w:jc w:val="left"/>
            </w:pPr>
            <w:r>
              <w:t xml:space="preserve">15,441</w:t>
            </w:r>
          </w:p>
        </w:tc>
        <w:tc>
          <w:p>
            <w:pPr>
              <w:pStyle w:val="Compact"/>
              <w:jc w:val="left"/>
            </w:pPr>
            <w:r>
              <w:t xml:space="preserve">34,275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Children under 6 with all parents in the labor force</w:t>
            </w:r>
          </w:p>
        </w:tc>
        <w:tc>
          <w:p>
            <w:pPr>
              <w:pStyle w:val="Compact"/>
              <w:jc w:val="left"/>
            </w:pPr>
            <w:r>
              <w:t xml:space="preserve">1,228</w:t>
            </w:r>
          </w:p>
        </w:tc>
        <w:tc>
          <w:p>
            <w:pPr>
              <w:pStyle w:val="Compact"/>
              <w:jc w:val="left"/>
            </w:pPr>
            <w:r>
              <w:t xml:space="preserve">10,420</w:t>
            </w:r>
          </w:p>
        </w:tc>
        <w:tc>
          <w:p>
            <w:pPr>
              <w:pStyle w:val="Compact"/>
              <w:jc w:val="left"/>
            </w:pPr>
            <w:r>
              <w:t xml:space="preserve">22,637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Median gross rent (rent + utilities), per month</w:t>
            </w:r>
          </w:p>
        </w:tc>
        <w:tc>
          <w:p>
            <w:pPr>
              <w:pStyle w:val="Compact"/>
              <w:jc w:val="left"/>
            </w:pPr>
            <w:r>
              <w:t xml:space="preserve">1,227</w:t>
            </w:r>
          </w:p>
        </w:tc>
        <w:tc>
          <w:p>
            <w:pPr>
              <w:pStyle w:val="Compact"/>
              <w:jc w:val="left"/>
            </w:pPr>
            <w:r>
              <w:t xml:space="preserve">$1,052</w:t>
            </w:r>
          </w:p>
        </w:tc>
        <w:tc>
          <w:p>
            <w:pPr>
              <w:pStyle w:val="Compact"/>
              <w:jc w:val="left"/>
            </w:pPr>
            <w:r>
              <w:t xml:space="preserve">$342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Share of women 25+ with a bachelor’s degree or higher</w:t>
            </w:r>
          </w:p>
        </w:tc>
        <w:tc>
          <w:p>
            <w:pPr>
              <w:pStyle w:val="Compact"/>
              <w:jc w:val="left"/>
            </w:pPr>
            <w:r>
              <w:t xml:space="preserve">1,228</w:t>
            </w:r>
          </w:p>
        </w:tc>
        <w:tc>
          <w:p>
            <w:pPr>
              <w:pStyle w:val="Compact"/>
              <w:jc w:val="left"/>
            </w:pPr>
            <w:r>
              <w:t xml:space="preserve">30.1%</w:t>
            </w:r>
          </w:p>
        </w:tc>
        <w:tc>
          <w:p>
            <w:pPr>
              <w:pStyle w:val="Compact"/>
              <w:jc w:val="left"/>
            </w:pPr>
            <w:r>
              <w:t xml:space="preserve">10.7 pp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Share of women 16–64 working full-time, year-round</w:t>
            </w:r>
          </w:p>
        </w:tc>
        <w:tc>
          <w:p>
            <w:pPr>
              <w:pStyle w:val="Compact"/>
              <w:jc w:val="left"/>
            </w:pPr>
            <w:r>
              <w:t xml:space="preserve">1,228</w:t>
            </w:r>
          </w:p>
        </w:tc>
        <w:tc>
          <w:p>
            <w:pPr>
              <w:pStyle w:val="Compact"/>
              <w:jc w:val="left"/>
            </w:pPr>
            <w:r>
              <w:t xml:space="preserve">43.7%</w:t>
            </w:r>
          </w:p>
        </w:tc>
        <w:tc>
          <w:p>
            <w:pPr>
              <w:pStyle w:val="Compact"/>
              <w:jc w:val="left"/>
            </w:pPr>
            <w:r>
              <w:t xml:space="preserve">6.8 pp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Share of the population under 6</w:t>
            </w:r>
          </w:p>
        </w:tc>
        <w:tc>
          <w:p>
            <w:pPr>
              <w:pStyle w:val="Compact"/>
              <w:jc w:val="left"/>
            </w:pPr>
            <w:r>
              <w:t xml:space="preserve">1,228</w:t>
            </w:r>
          </w:p>
        </w:tc>
        <w:tc>
          <w:p>
            <w:pPr>
              <w:pStyle w:val="Compact"/>
              <w:jc w:val="left"/>
            </w:pPr>
            <w:r>
              <w:t xml:space="preserve">6.3%</w:t>
            </w:r>
          </w:p>
        </w:tc>
        <w:tc>
          <w:p>
            <w:pPr>
              <w:pStyle w:val="Compact"/>
              <w:jc w:val="left"/>
            </w:pPr>
            <w:r>
              <w:t xml:space="preserve">1.2 pp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Share of the population under 6 with all parents working</w:t>
            </w:r>
          </w:p>
        </w:tc>
        <w:tc>
          <w:p>
            <w:pPr>
              <w:pStyle w:val="Compact"/>
              <w:jc w:val="left"/>
            </w:pPr>
            <w:r>
              <w:t xml:space="preserve">1,228</w:t>
            </w:r>
          </w:p>
        </w:tc>
        <w:tc>
          <w:p>
            <w:pPr>
              <w:pStyle w:val="Compact"/>
              <w:jc w:val="left"/>
            </w:pPr>
            <w:r>
              <w:t xml:space="preserve">4.2%</w:t>
            </w:r>
          </w:p>
        </w:tc>
        <w:tc>
          <w:p>
            <w:pPr>
              <w:pStyle w:val="Compact"/>
              <w:jc w:val="left"/>
            </w:pPr>
            <w:r>
              <w:t xml:space="preserve">0.9 pp</w:t>
            </w:r>
          </w:p>
        </w:tc>
      </w:tr>
    </w:tbl>
    <w:p>
      <w:pPr>
        <w:pStyle w:val="BodyText"/>
      </w:pPr>
      <w:r>
        <w:t xml:space="preserve">Population-based variables are very right-skewed (a few large counties such as Los Angeles, with 9.9 million</w:t>
      </w:r>
      <w:r>
        <w:t xml:space="preserve"> </w:t>
      </w:r>
      <w:r>
        <w:t xml:space="preserve">residents, sit far above the mean). N differs across rows because 20 counties lack an OEWS wage and the 7</w:t>
      </w:r>
      <w:r>
        <w:t xml:space="preserve"> </w:t>
      </w:r>
      <w:r>
        <w:t xml:space="preserve">Connecticut metro counties have no 2022 ACS match.</w:t>
      </w:r>
      <w:r>
        <w:rPr>
          <w:rStyle w:val="FootnoteReference"/>
        </w:rPr>
        <w:footnoteReference w:id="24"/>
      </w:r>
    </w:p>
    <w:bookmarkEnd w:id="25"/>
    <w:bookmarkStart w:id="27" w:name="real-wages-and-rents-20152022"/>
    <w:p>
      <w:pPr>
        <w:pStyle w:val="Heading1"/>
      </w:pPr>
      <w:r>
        <w:t xml:space="preserve">5. Real wages and rents, 2015–2022</w:t>
      </w:r>
    </w:p>
    <w:p>
      <w:pPr>
        <w:pStyle w:val="FirstParagraph"/>
      </w:pPr>
      <w:r>
        <w:t xml:space="preserve">Dollar values are converted to constant 2022 dollars:</w:t>
      </w:r>
      <w:r>
        <w:t xml:space="preserve"> </w:t>
      </w:r>
      <m:oMath>
        <m:sSub>
          <m:e>
            <m:r>
              <m:rPr>
                <m:nor/>
                <m:sty m:val="p"/>
              </m:rPr>
              <m:t>real</m:t>
            </m:r>
          </m:e>
          <m:sub>
            <m:r>
              <m:t>t</m:t>
            </m:r>
          </m:sub>
        </m:sSub>
        <m:r>
          <m:t>=</m:t>
        </m:r>
        <m:sSub>
          <m:e>
            <m:r>
              <m:rPr>
                <m:nor/>
                <m:sty m:val="p"/>
              </m:rPr>
              <m:t>nominal</m:t>
            </m:r>
          </m:e>
          <m:sub>
            <m:r>
              <m:t>t</m:t>
            </m:r>
          </m:sub>
        </m:sSub>
        <m:r>
          <m:t>×</m:t>
        </m:r>
        <m:sSub>
          <m:e>
            <m:r>
              <m:rPr>
                <m:nor/>
                <m:sty m:val="p"/>
              </m:rPr>
              <m:t>CPI</m:t>
            </m:r>
          </m:e>
          <m:sub>
            <m:r>
              <m:t>2022</m:t>
            </m:r>
          </m:sub>
        </m:sSub>
        <m:r>
          <m:t>/</m:t>
        </m:r>
        <m:sSub>
          <m:e>
            <m:r>
              <m:rPr>
                <m:nor/>
                <m:sty m:val="p"/>
              </m:rPr>
              <m:t>CPI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(CPI-U annual averages, verified against the BLS API: 2015 237.017 · 2016 240.007</w:t>
      </w:r>
      <w:r>
        <w:t xml:space="preserve"> </w:t>
      </w:r>
      <w:r>
        <w:t xml:space="preserve">· 2017 245.120 · 2018 251.107 · 2019 255.657 · 2020 258.811 · 2021 270.970 · 2022 292.655).</w:t>
      </w:r>
    </w:p>
    <w:p>
      <w:pPr>
        <w:pStyle w:val="BodyText"/>
      </w:pPr>
      <w:r>
        <w:drawing>
          <wp:inline>
            <wp:extent cx="5334000" cy="2184399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ps5_output/fig_real_wage_rent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843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tbl>
      <w:tblPr>
        <w:tblStyle w:val="Table"/>
        <w:tblW w:type="pct" w:w="4999.999999999998"/>
        <w:tblLook w:firstRow="1" w:lastRow="0" w:firstColumn="0" w:lastColumn="0" w:noHBand="0" w:noVBand="0"/>
      </w:tblPr>
      <w:tblGrid>
        <w:gridCol w:w="879"/>
        <w:gridCol w:w="879"/>
        <w:gridCol w:w="879"/>
        <w:gridCol w:w="879"/>
        <w:gridCol w:w="879"/>
        <w:gridCol w:w="879"/>
        <w:gridCol w:w="879"/>
        <w:gridCol w:w="879"/>
        <w:gridCol w:w="879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Mean across metro counties, 2022 $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2015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2016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2017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2018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2019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2020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2021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2022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Childcare-worker wage, per year</w:t>
            </w:r>
          </w:p>
        </w:tc>
        <w:tc>
          <w:p>
            <w:pPr>
              <w:pStyle w:val="Compact"/>
              <w:jc w:val="left"/>
            </w:pPr>
            <w:r>
              <w:t xml:space="preserve">25,851</w:t>
            </w:r>
          </w:p>
        </w:tc>
        <w:tc>
          <w:p>
            <w:pPr>
              <w:pStyle w:val="Compact"/>
              <w:jc w:val="left"/>
            </w:pPr>
            <w:r>
              <w:t xml:space="preserve">26,170</w:t>
            </w:r>
          </w:p>
        </w:tc>
        <w:tc>
          <w:p>
            <w:pPr>
              <w:pStyle w:val="Compact"/>
              <w:jc w:val="left"/>
            </w:pPr>
            <w:r>
              <w:t xml:space="preserve">26,393</w:t>
            </w:r>
          </w:p>
        </w:tc>
        <w:tc>
          <w:p>
            <w:pPr>
              <w:pStyle w:val="Compact"/>
              <w:jc w:val="left"/>
            </w:pPr>
            <w:r>
              <w:t xml:space="preserve">26,506</w:t>
            </w:r>
          </w:p>
        </w:tc>
        <w:tc>
          <w:p>
            <w:pPr>
              <w:pStyle w:val="Compact"/>
              <w:jc w:val="left"/>
            </w:pPr>
            <w:r>
              <w:t xml:space="preserve">26,889</w:t>
            </w:r>
          </w:p>
        </w:tc>
        <w:tc>
          <w:p>
            <w:pPr>
              <w:pStyle w:val="Compact"/>
              <w:jc w:val="left"/>
            </w:pPr>
            <w:r>
              <w:t xml:space="preserve">27,641</w:t>
            </w:r>
          </w:p>
        </w:tc>
        <w:tc>
          <w:p>
            <w:pPr>
              <w:pStyle w:val="Compact"/>
              <w:jc w:val="left"/>
            </w:pPr>
            <w:r>
              <w:t xml:space="preserve">27,646</w:t>
            </w:r>
          </w:p>
        </w:tc>
        <w:tc>
          <w:p>
            <w:pPr>
              <w:pStyle w:val="Compact"/>
              <w:jc w:val="left"/>
            </w:pPr>
            <w:r>
              <w:t xml:space="preserve">27,373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Median gross rent, per month</w:t>
            </w:r>
          </w:p>
        </w:tc>
        <w:tc>
          <w:p>
            <w:pPr>
              <w:pStyle w:val="Compact"/>
              <w:jc w:val="left"/>
            </w:pPr>
            <w:r>
              <w:t xml:space="preserve">993</w:t>
            </w:r>
          </w:p>
        </w:tc>
        <w:tc>
          <w:p>
            <w:pPr>
              <w:pStyle w:val="Compact"/>
              <w:jc w:val="left"/>
            </w:pPr>
            <w:r>
              <w:t xml:space="preserve">1,001</w:t>
            </w:r>
          </w:p>
        </w:tc>
        <w:tc>
          <w:p>
            <w:pPr>
              <w:pStyle w:val="Compact"/>
              <w:jc w:val="left"/>
            </w:pPr>
            <w:r>
              <w:t xml:space="preserve">1,011</w:t>
            </w:r>
          </w:p>
        </w:tc>
        <w:tc>
          <w:p>
            <w:pPr>
              <w:pStyle w:val="Compact"/>
              <w:jc w:val="left"/>
            </w:pPr>
            <w:r>
              <w:t xml:space="preserve">1,020</w:t>
            </w:r>
          </w:p>
        </w:tc>
        <w:tc>
          <w:p>
            <w:pPr>
              <w:pStyle w:val="Compact"/>
              <w:jc w:val="left"/>
            </w:pPr>
            <w:r>
              <w:t xml:space="preserve">1,030</w:t>
            </w:r>
          </w:p>
        </w:tc>
        <w:tc>
          <w:p>
            <w:pPr>
              <w:pStyle w:val="Compact"/>
              <w:jc w:val="left"/>
            </w:pPr>
            <w:r>
              <w:t xml:space="preserve">1,040</w:t>
            </w:r>
          </w:p>
        </w:tc>
        <w:tc>
          <w:p>
            <w:pPr>
              <w:pStyle w:val="Compact"/>
              <w:jc w:val="left"/>
            </w:pPr>
            <w:r>
              <w:t xml:space="preserve">1,045</w:t>
            </w:r>
          </w:p>
        </w:tc>
        <w:tc>
          <w:p>
            <w:pPr>
              <w:pStyle w:val="Compact"/>
              <w:jc w:val="left"/>
            </w:pPr>
            <w:r>
              <w:t xml:space="preserve">1,052</w:t>
            </w:r>
          </w:p>
        </w:tc>
      </w:tr>
    </w:tbl>
    <w:p>
      <w:pPr>
        <w:pStyle w:val="BodyText"/>
      </w:pPr>
      <w:r>
        <w:rPr>
          <w:b/>
        </w:rPr>
        <w:t xml:space="preserve">Discussion.</w:t>
      </w:r>
      <w:r>
        <w:t xml:space="preserve"> </w:t>
      </w:r>
      <w:r>
        <w:t xml:space="preserve">In nominal terms both costs rose about 31% from 2015 to 2022, but general inflation was 23.5%, so in</w:t>
      </w:r>
      <w:r>
        <w:t xml:space="preserve"> </w:t>
      </w:r>
      <w:r>
        <w:t xml:space="preserve">real terms each rose about 6%. Their paths differ: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Childcare-worker wages</w:t>
      </w:r>
      <w:r>
        <w:t xml:space="preserve"> </w:t>
      </w:r>
      <w:r>
        <w:t xml:space="preserve">grew faster than inflation through 2020 (+6.9% real, 2015–2020), stayed flat in 2021,</w:t>
      </w:r>
      <w:r>
        <w:t xml:space="preserve"> </w:t>
      </w:r>
      <w:r>
        <w:t xml:space="preserve">and</w:t>
      </w:r>
      <w:r>
        <w:t xml:space="preserve"> </w:t>
      </w:r>
      <w:r>
        <w:rPr>
          <w:b/>
        </w:rPr>
        <w:t xml:space="preserve">fell 1.0% in real terms in 2022</w:t>
      </w:r>
      <w:r>
        <w:t xml:space="preserve">, when the 8% inflation surge outpaced nominal raises.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Rents</w:t>
      </w:r>
      <w:r>
        <w:t xml:space="preserve"> </w:t>
      </w:r>
      <w:r>
        <w:t xml:space="preserve">rose steadily every year (+4.7% real, 2015–2020, and +1.1% more by 2022), without the 2022 reversal.</w:t>
      </w:r>
    </w:p>
    <w:p>
      <w:pPr>
        <w:pStyle w:val="FirstParagraph"/>
      </w:pPr>
      <w:r>
        <w:t xml:space="preserve">Unlike the NDCP prices in PS4, the set of counties is nearly the same each year, so the balanced panel (1,180</w:t>
      </w:r>
      <w:r>
        <w:t xml:space="preserve"> </w:t>
      </w:r>
      <w:r>
        <w:t xml:space="preserve">counties with both variables in every year, dashed lines) tracks the full sample almost exactly (in the wage panel</w:t>
      </w:r>
      <w:r>
        <w:t xml:space="preserve"> </w:t>
      </w:r>
      <w:r>
        <w:t xml:space="preserve">the two lines coincide).</w:t>
      </w:r>
    </w:p>
    <w:bookmarkEnd w:id="27"/>
    <w:bookmarkStart w:id="30" w:name="Xeaf98bbed99bf87dd1f5a1d2bb591f6d3d92580"/>
    <w:p>
      <w:pPr>
        <w:pStyle w:val="Heading1"/>
      </w:pPr>
      <w:r>
        <w:t xml:space="preserve">6. Did real childcare-worker wages rise between 2019 and 2022?</w:t>
      </w:r>
    </w:p>
    <w:p>
      <w:pPr>
        <w:pStyle w:val="FirstParagraph"/>
      </w:pPr>
      <w:r>
        <w:t xml:space="preserve">Providers claim rising wages were an important driver of higher costs after Covid-19. We test whether average real</w:t>
      </w:r>
      <w:r>
        <w:t xml:space="preserve"> </w:t>
      </w:r>
      <w:r>
        <w:t xml:space="preserve">wages (2022 $) of childcare workers in metro counties were the same in 2022 as in 2019.</w:t>
      </w:r>
    </w:p>
    <w:p>
      <w:pPr>
        <w:pStyle w:val="BodyText"/>
      </w:pPr>
      <w:r>
        <w:rPr>
          <w:b/>
        </w:rPr>
        <w:t xml:space="preserve">Hypotheses</w:t>
      </w:r>
      <w:r>
        <w:t xml:space="preserve"> </w:t>
      </w:r>
      <w:r>
        <w:t xml:space="preserve">(two-sided,</w:t>
      </w:r>
      <w:r>
        <w:t xml:space="preserve"> </w:t>
      </w:r>
      <m:oMath>
        <m:r>
          <m:t>α</m:t>
        </m:r>
        <m:r>
          <m:t>=</m:t>
        </m:r>
        <m:r>
          <m:t>0.05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0</m:t>
              </m:r>
            </m:sub>
          </m:sSub>
          <m:r>
            <m:t>:</m:t>
          </m:r>
          <m:r>
            <m:t> </m:t>
          </m:r>
          <m:sSub>
            <m:e>
              <m:r>
                <m:t>μ</m:t>
              </m:r>
            </m:e>
            <m:sub>
              <m:r>
                <m:t>2022</m:t>
              </m:r>
            </m:sub>
          </m:sSub>
          <m:r>
            <m:t>=</m:t>
          </m:r>
          <m:sSub>
            <m:e>
              <m:r>
                <m:t>μ</m:t>
              </m:r>
            </m:e>
            <m:sub>
              <m:r>
                <m:t>2019</m:t>
              </m:r>
            </m:sub>
          </m:sSub>
          <m:r>
            <m:t>  </m:t>
          </m:r>
          <m:r>
            <m:rPr>
              <m:nor/>
              <m:sty m:val="p"/>
            </m:rPr>
            <m:t>(average real childcare wage was the same in 2022 as in 2019)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1</m:t>
              </m:r>
            </m:sub>
          </m:sSub>
          <m:r>
            <m:t>:</m:t>
          </m:r>
          <m:r>
            <m:t> </m:t>
          </m:r>
          <m:sSub>
            <m:e>
              <m:r>
                <m:t>μ</m:t>
              </m:r>
            </m:e>
            <m:sub>
              <m:r>
                <m:t>2022</m:t>
              </m:r>
            </m:sub>
          </m:sSub>
          <m:r>
            <m:t>≠</m:t>
          </m:r>
          <m:sSub>
            <m:e>
              <m:r>
                <m:t>μ</m:t>
              </m:r>
            </m:e>
            <m:sub>
              <m:r>
                <m:t>2019</m:t>
              </m:r>
            </m:sub>
          </m:sSub>
          <m:r>
            <m:t>  </m:t>
          </m:r>
          <m:r>
            <m:rPr>
              <m:nor/>
              <m:sty m:val="p"/>
            </m:rPr>
            <m:t>(average real childcare wage changed between 2019 and 2022)</m:t>
          </m:r>
        </m:oMath>
      </m:oMathPara>
    </w:p>
    <w:p>
      <w:pPr>
        <w:pStyle w:val="FirstParagraph"/>
      </w:pPr>
      <w:r>
        <w:rPr>
          <w:b/>
        </w:rPr>
        <w:t xml:space="preserve">Test: two-sample</w:t>
      </w:r>
      <w:r>
        <w:rPr>
          <w:b/>
        </w:rPr>
        <w:t xml:space="preserve"> </w:t>
      </w:r>
      <w:r>
        <w:rPr>
          <w:i/>
          <w:b/>
        </w:rPr>
        <w:t xml:space="preserve">t</w:t>
      </w:r>
      <w:r>
        <w:rPr>
          <w:b/>
        </w:rPr>
        <w:t xml:space="preserve">-test with unequal variances (Welch).</w:t>
      </w:r>
      <w:r>
        <w:t xml:space="preserve"> </w:t>
      </w:r>
      <w:r>
        <w:t xml:space="preserve">We compare the two years as separate samples. OEWS</w:t>
      </w:r>
      <w:r>
        <w:t xml:space="preserve"> </w:t>
      </w:r>
      <w:r>
        <w:t xml:space="preserve">pools three years of survey panels into each May estimate, and the May 2019 estimate (panels Nov 2016–May 2019)</w:t>
      </w:r>
      <w:r>
        <w:t xml:space="preserve"> </w:t>
      </w:r>
      <w:r>
        <w:t xml:space="preserve">shares no survey data with May 2022 (panels Nov 2019–May 2022), though the same counties appear in both years (see</w:t>
      </w:r>
      <w:r>
        <w:t xml:space="preserve"> </w:t>
      </w:r>
      <w:r>
        <w:t xml:space="preserve">footnote 3 for the paired test). We use Welch’s version rather than a one-way ANOVA (which with two groups is the</w:t>
      </w:r>
      <w:r>
        <w:t xml:space="preserve"> </w:t>
      </w:r>
      <w:r>
        <w:t xml:space="preserve">pooled-variance</w:t>
      </w:r>
      <w:r>
        <w:t xml:space="preserve"> </w:t>
      </w:r>
      <w:r>
        <w:rPr>
          <w:i/>
        </w:rPr>
        <w:t xml:space="preserve">t</w:t>
      </w:r>
      <w:r>
        <w:t xml:space="preserve">-test)</w:t>
      </w:r>
      <w:r>
        <w:t xml:space="preserve"> </w:t>
      </w:r>
      <w:r>
        <w:rPr>
          <w:b/>
        </w:rPr>
        <w:t xml:space="preserve">because Welch does not require equal variances, and the spread of wages differs between</w:t>
      </w:r>
      <w:r>
        <w:rPr>
          <w:b/>
        </w:rPr>
        <w:t xml:space="preserve"> </w:t>
      </w:r>
      <w:r>
        <w:rPr>
          <w:b/>
        </w:rPr>
        <w:t xml:space="preserve">the years</w:t>
      </w:r>
      <w:r>
        <w:t xml:space="preserve">: the 2022 SD ($4,337) is 11% larger than the 2019 SD ($3,897). A Bartlett test rejects equal variances</w:t>
      </w:r>
      <w:r>
        <w:t xml:space="preserve"> </w:t>
      </w:r>
      <w:r>
        <w:t xml:space="preserve">(p = 0.0002), though the more robust Levene test does not.</w:t>
      </w:r>
      <w:r>
        <w:rPr>
          <w:rStyle w:val="FootnoteReference"/>
        </w:rPr>
        <w:footnoteReference w:id="28"/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r>
            <m:t>=</m:t>
          </m:r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2022</m:t>
                  </m:r>
                </m:sub>
              </m:sSub>
              <m: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2019</m:t>
                  </m:r>
                </m:sub>
              </m:sSub>
            </m:num>
            <m:den>
              <m:rad>
                <m:radPr>
                  <m:degHide m:val="1"/>
                </m:radPr>
                <m:deg/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2022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2022</m:t>
                          </m:r>
                        </m:sub>
                      </m:sSub>
                    </m:den>
                  </m:f>
                  <m:r>
                    <m:t>+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2019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2019</m:t>
                          </m:r>
                        </m:sub>
                      </m:sSub>
                    </m:den>
                  </m:f>
                </m:e>
              </m:rad>
            </m:den>
          </m:f>
          <m:r>
            <m:t>,</m:t>
          </m:r>
          <m:r>
            <m:t>  </m:t>
          </m:r>
          <m:r>
            <m:t>ν</m:t>
          </m:r>
          <m:r>
            <m:t>=</m:t>
          </m:r>
          <m:f>
            <m:fPr>
              <m:type m:val="bar"/>
            </m:fPr>
            <m:num>
              <m:sSup>
                <m:e>
                  <m:d>
                    <m:dPr>
                      <m:begChr m:val="(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bSup>
                            <m:e>
                              <m:r>
                                <m:t>s</m:t>
                              </m:r>
                            </m:e>
                            <m:sub>
                              <m:r>
                                <m:t>2022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num>
                        <m:den>
                          <m:sSub>
                            <m:e>
                              <m:r>
                                <m:t>n</m:t>
                              </m:r>
                            </m:e>
                            <m:sub>
                              <m:r>
                                <m:t>2022</m:t>
                              </m:r>
                            </m:sub>
                          </m:sSub>
                        </m:den>
                      </m:f>
                      <m:r>
                        <m:t>+</m:t>
                      </m:r>
                      <m:f>
                        <m:fPr>
                          <m:type m:val="bar"/>
                        </m:fPr>
                        <m:num>
                          <m:sSubSup>
                            <m:e>
                              <m:r>
                                <m:t>s</m:t>
                              </m:r>
                            </m:e>
                            <m:sub>
                              <m:r>
                                <m:t>2019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num>
                        <m:den>
                          <m:sSub>
                            <m:e>
                              <m:r>
                                <m:t>n</m:t>
                              </m:r>
                            </m:e>
                            <m:sub>
                              <m:r>
                                <m:t>2019</m:t>
                              </m:r>
                            </m:sub>
                          </m:sSub>
                        </m:den>
                      </m:f>
                    </m:e>
                  </m:d>
                </m:e>
                <m:sup>
                  <m:r>
                    <m:t>2</m:t>
                  </m:r>
                </m:sup>
              </m:sSup>
            </m:num>
            <m:den>
              <m:f>
                <m:fPr>
                  <m:type m:val="bar"/>
                </m:fPr>
                <m:num>
                  <m:r>
                    <m:t>(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2022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2022</m:t>
                      </m:r>
                    </m:sub>
                  </m:sSub>
                  <m:sSup>
                    <m:e>
                      <m: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2022</m:t>
                      </m:r>
                    </m:sub>
                  </m:sSub>
                  <m:r>
                    <m:t>−</m:t>
                  </m:r>
                  <m:r>
                    <m:t>1</m:t>
                  </m:r>
                </m:den>
              </m:f>
              <m:r>
                <m:t>+</m:t>
              </m:r>
              <m:f>
                <m:fPr>
                  <m:type m:val="bar"/>
                </m:fPr>
                <m:num>
                  <m:r>
                    <m:t>(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2019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2019</m:t>
                      </m:r>
                    </m:sub>
                  </m:sSub>
                  <m:sSup>
                    <m:e>
                      <m: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2019</m:t>
                      </m:r>
                    </m:sub>
                  </m:sSub>
                  <m:r>
                    <m:t>−</m:t>
                  </m:r>
                  <m:r>
                    <m:t>1</m:t>
                  </m:r>
                </m:den>
              </m:f>
            </m:den>
          </m:f>
        </m:oMath>
      </m:oMathPara>
    </w:p>
    <w:tbl>
      <w:tblPr>
        <w:tblStyle w:val="Table"/>
        <w:tblW w:type="pct" w:w="0.0"/>
        <w:tblLook w:firstRow="1" w:lastRow="0" w:firstColumn="0" w:lastColumn="0" w:noHBand="0" w:noVBand="0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Element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2022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2019</w:t>
            </w:r>
          </w:p>
        </w:tc>
      </w:tr>
      <w:tr>
        <w:tc>
          <w:p>
            <w:pPr>
              <w:pStyle w:val="Compact"/>
              <w:jc w:val="left"/>
            </w:pPr>
            <m:oMath>
              <m:r>
                <m:t>n</m:t>
              </m:r>
            </m:oMath>
            <w:r>
              <w:t xml:space="preserve"> </w:t>
            </w:r>
            <w:r>
              <w:t xml:space="preserve">(metro counties with a wage)</w:t>
            </w:r>
          </w:p>
        </w:tc>
        <w:tc>
          <w:p>
            <w:pPr>
              <w:pStyle w:val="Compact"/>
              <w:jc w:val="left"/>
            </w:pPr>
            <w:r>
              <w:t xml:space="preserve">1,215</w:t>
            </w:r>
          </w:p>
        </w:tc>
        <w:tc>
          <w:p>
            <w:pPr>
              <w:pStyle w:val="Compact"/>
              <w:jc w:val="left"/>
            </w:pPr>
            <w:r>
              <w:t xml:space="preserve">1,229</w:t>
            </w:r>
          </w:p>
        </w:tc>
      </w:tr>
      <w:tr>
        <w:tc>
          <w:p>
            <w:pPr>
              <w:pStyle w:val="Compact"/>
              <w:jc w:val="left"/>
            </w:pPr>
            <m:oMath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oMath>
            <w:r>
              <w:t xml:space="preserve"> </w:t>
            </w:r>
            <w:r>
              <w:t xml:space="preserve">(mean real wage, 2022 $)</w:t>
            </w:r>
          </w:p>
        </w:tc>
        <w:tc>
          <w:p>
            <w:pPr>
              <w:pStyle w:val="Compact"/>
              <w:jc w:val="left"/>
            </w:pPr>
            <w:r>
              <w:t xml:space="preserve">$27,373.48</w:t>
            </w:r>
          </w:p>
        </w:tc>
        <w:tc>
          <w:p>
            <w:pPr>
              <w:pStyle w:val="Compact"/>
              <w:jc w:val="left"/>
            </w:pPr>
            <w:r>
              <w:t xml:space="preserve">$26,888.87</w:t>
            </w:r>
          </w:p>
        </w:tc>
      </w:tr>
      <w:tr>
        <w:tc>
          <w:p>
            <w:pPr>
              <w:pStyle w:val="Compact"/>
              <w:jc w:val="left"/>
            </w:pPr>
            <m:oMath>
              <m:r>
                <m:t>s</m:t>
              </m:r>
            </m:oMath>
            <w:r>
              <w:t xml:space="preserve"> </w:t>
            </w:r>
            <w:r>
              <w:t xml:space="preserve">(SD)</w:t>
            </w:r>
          </w:p>
        </w:tc>
        <w:tc>
          <w:p>
            <w:pPr>
              <w:pStyle w:val="Compact"/>
              <w:jc w:val="left"/>
            </w:pPr>
            <w:r>
              <w:t xml:space="preserve">$4,337.10</w:t>
            </w:r>
          </w:p>
        </w:tc>
        <w:tc>
          <w:p>
            <w:pPr>
              <w:pStyle w:val="Compact"/>
              <w:jc w:val="left"/>
            </w:pPr>
            <w:r>
              <w:t xml:space="preserve">$3,897.24</w:t>
            </w:r>
          </w:p>
        </w:tc>
      </w:tr>
      <w:tr>
        <w:tc>
          <w:p>
            <w:pPr>
              <w:pStyle w:val="Compact"/>
              <w:jc w:val="left"/>
            </w:pPr>
            <m:oMath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t>/</m:t>
              </m:r>
              <m:r>
                <m:t>n</m:t>
              </m:r>
            </m:oMath>
          </w:p>
        </w:tc>
        <w:tc>
          <w:p>
            <w:pPr>
              <w:pStyle w:val="Compact"/>
              <w:jc w:val="left"/>
            </w:pPr>
            <w:r>
              <w:t xml:space="preserve">15,481.85</w:t>
            </w:r>
          </w:p>
        </w:tc>
        <w:tc>
          <w:p>
            <w:pPr>
              <w:pStyle w:val="Compact"/>
              <w:jc w:val="left"/>
            </w:pPr>
            <w:r>
              <w:t xml:space="preserve">12,358.43</w:t>
            </w:r>
          </w:p>
        </w:tc>
      </w:tr>
    </w:tbl>
    <w:p>
      <w:pPr>
        <w:pStyle w:val="BodyText"/>
      </w:pPr>
      <m:oMathPara>
        <m:oMathParaPr>
          <m:jc m:val="center"/>
        </m:oMathParaPr>
        <m:oMath>
          <m:r>
            <m:t>S</m:t>
          </m:r>
          <m:r>
            <m:t>E</m:t>
          </m:r>
          <m:r>
            <m:t>=</m:t>
          </m:r>
          <m:rad>
            <m:radPr>
              <m:degHide m:val="1"/>
            </m:radPr>
            <m:deg/>
            <m:e>
              <m:r>
                <m:t>15</m:t>
              </m:r>
              <m:r>
                <m:t>,</m:t>
              </m:r>
              <m:r>
                <m:t>481.85</m:t>
              </m:r>
              <m:r>
                <m:t>+</m:t>
              </m:r>
              <m:r>
                <m:t>12</m:t>
              </m:r>
              <m:r>
                <m:t>,</m:t>
              </m:r>
              <m:r>
                <m:t>358.43</m:t>
              </m:r>
            </m:e>
          </m:rad>
          <m:r>
            <m:t>=</m:t>
          </m:r>
          <m:r>
            <m:t>166.85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t</m:t>
          </m:r>
          <m:r>
            <m:t>=</m:t>
          </m:r>
          <m:f>
            <m:fPr>
              <m:type m:val="bar"/>
            </m:fPr>
            <m:num>
              <m:r>
                <m:t>27</m:t>
              </m:r>
              <m:r>
                <m:t>,</m:t>
              </m:r>
              <m:r>
                <m:t>373.48</m:t>
              </m:r>
              <m:r>
                <m:t>−</m:t>
              </m:r>
              <m:r>
                <m:t>26</m:t>
              </m:r>
              <m:r>
                <m:t>,</m:t>
              </m:r>
              <m:r>
                <m:t>888.87</m:t>
              </m:r>
            </m:num>
            <m:den>
              <m:r>
                <m:t>166.85</m:t>
              </m:r>
            </m:den>
          </m:f>
          <m:r>
            <m:t>=</m:t>
          </m:r>
          <m:f>
            <m:fPr>
              <m:type m:val="bar"/>
            </m:fPr>
            <m:num>
              <m:r>
                <m:t>484.61</m:t>
              </m:r>
            </m:num>
            <m:den>
              <m:r>
                <m:t>166.85</m:t>
              </m:r>
            </m:den>
          </m:f>
          <m:r>
            <m:t>=</m:t>
          </m:r>
          <m:r>
            <m:rPr>
              <m:sty m:val="b"/>
            </m:rPr>
            <m:t>2.90</m:t>
          </m:r>
          <m:r>
            <m:t>,</m:t>
          </m:r>
          <m:r>
            <m:t>  </m:t>
          </m:r>
          <m:r>
            <m:t>ν</m:t>
          </m:r>
          <m:r>
            <m:t>=</m:t>
          </m:r>
          <m:r>
            <m:t>2</m:t>
          </m:r>
          <m:r>
            <m:t>,</m:t>
          </m:r>
          <m:r>
            <m:t>408.5</m:t>
          </m:r>
          <m:r>
            <m:rPr>
              <m:nor/>
              <m:sty m:val="p"/>
            </m:rPr>
            <m:t> degrees of freedom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p</m:t>
          </m:r>
          <m:r>
            <m:t>=</m:t>
          </m:r>
          <m:r>
            <m:t>2</m:t>
          </m:r>
          <m:d>
            <m:dPr>
              <m:begChr m:val="["/>
              <m:endChr m:val="]"/>
              <m:grow/>
            </m:dPr>
            <m:e>
              <m:r>
                <m:t>1</m:t>
              </m:r>
              <m:r>
                <m:t>−</m:t>
              </m:r>
              <m:sSub>
                <m:e>
                  <m:r>
                    <m:t>F</m:t>
                  </m:r>
                </m:e>
                <m:sub>
                  <m:r>
                    <m:t>t</m:t>
                  </m:r>
                  <m:r>
                    <m:t>,</m:t>
                  </m:r>
                  <m:r>
                    <m:t> </m:t>
                  </m:r>
                  <m:r>
                    <m:t>ν</m:t>
                  </m:r>
                </m:sub>
              </m:sSub>
              <m:r>
                <m:t>(</m:t>
              </m:r>
              <m:r>
                <m:t>2.90</m:t>
              </m:r>
              <m:r>
                <m:t>)</m:t>
              </m:r>
            </m:e>
          </m:d>
          <m:r>
            <m:t>=</m:t>
          </m:r>
          <m:r>
            <m:rPr>
              <m:sty m:val="b"/>
            </m:rPr>
            <m:t>0.0037</m:t>
          </m:r>
          <m:r>
            <m:t>.</m:t>
          </m:r>
        </m:oMath>
      </m:oMathPara>
    </w:p>
    <w:p>
      <w:pPr>
        <w:pStyle w:val="FirstParagraph"/>
      </w:pPr>
      <w:r>
        <w:rPr>
          <w:rStyle w:val="VerbatimChar"/>
        </w:rPr>
        <w:t xml:space="preserve">scipy.stats.ttest_ind(..., equal_var=False)</w:t>
      </w:r>
      <w:r>
        <w:t xml:space="preserve"> </w:t>
      </w:r>
      <w:r>
        <w:t xml:space="preserve">returns the same</w:t>
      </w:r>
      <w:r>
        <w:t xml:space="preserve"> </w:t>
      </w:r>
      <m:oMath>
        <m:r>
          <m:t>t</m:t>
        </m:r>
        <m:r>
          <m:t>=</m:t>
        </m:r>
        <m:r>
          <m:t>2.904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  <m:r>
          <m:t>=</m:t>
        </m:r>
        <m:r>
          <m:t>0.0037</m:t>
        </m:r>
      </m:oMath>
      <w:r>
        <w:t xml:space="preserve">.</w:t>
      </w:r>
      <w:r>
        <w:rPr>
          <w:rStyle w:val="FootnoteReference"/>
        </w:rPr>
        <w:footnoteReference w:id="29"/>
      </w:r>
      <w:r>
        <w:t xml:space="preserve"> </w:t>
      </w:r>
      <w:r>
        <w:t xml:space="preserve">The 95% CI for</w:t>
      </w:r>
      <w:r>
        <w:t xml:space="preserve"> </w:t>
      </w:r>
      <w:r>
        <w:t xml:space="preserve">the change, using the Welch critical value</w:t>
      </w:r>
      <w:r>
        <w:t xml:space="preserve"> </w:t>
      </w:r>
      <m:oMath>
        <m:sSub>
          <m:e>
            <m:r>
              <m:t>t</m:t>
            </m:r>
          </m:e>
          <m:sub>
            <m:r>
              <m:t>0.975</m:t>
            </m:r>
            <m:r>
              <m:t>,</m:t>
            </m:r>
            <m:r>
              <m:t> </m:t>
            </m:r>
            <m:r>
              <m:t>2408.5</m:t>
            </m:r>
          </m:sub>
        </m:sSub>
        <m:r>
          <m:t>=</m:t>
        </m:r>
        <m:r>
          <m:t>1.961</m:t>
        </m:r>
      </m:oMath>
      <w:r>
        <w:t xml:space="preserve">, is [$157, $812] per year.</w:t>
      </w:r>
    </w:p>
    <w:p>
      <w:pPr>
        <w:pStyle w:val="BodyText"/>
      </w:pPr>
      <w:r>
        <w:rPr>
          <w:b/>
        </w:rPr>
        <w:t xml:space="preserve">Interpretation.</w:t>
      </w:r>
      <w:r>
        <w:t xml:space="preserve"> </w:t>
      </w:r>
      <w:r>
        <w:t xml:space="preserve">Since</w:t>
      </w:r>
      <w:r>
        <w:t xml:space="preserve"> </w:t>
      </w:r>
      <m:oMath>
        <m:r>
          <m:t>|</m:t>
        </m:r>
        <m:r>
          <m:t>t</m:t>
        </m:r>
        <m:r>
          <m:t>|</m:t>
        </m:r>
        <m:r>
          <m:t>=</m:t>
        </m:r>
        <m:r>
          <m:t>2.90</m:t>
        </m:r>
        <m:r>
          <m:t>&gt;</m:t>
        </m:r>
        <m:r>
          <m:t>1.96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  <m:r>
          <m:t>=</m:t>
        </m:r>
        <m:r>
          <m:t>0.004</m:t>
        </m:r>
        <m:r>
          <m:t>&lt;</m:t>
        </m:r>
        <m:r>
          <m:t>0.05</m:t>
        </m:r>
      </m:oMath>
      <w:r>
        <w:t xml:space="preserve">,</w:t>
      </w:r>
      <w:r>
        <w:t xml:space="preserve"> </w:t>
      </w:r>
      <w:r>
        <w:rPr>
          <w:b/>
        </w:rPr>
        <w:t xml:space="preserve">we reject</w:t>
      </w:r>
      <w:r>
        <w:rPr>
          <w:b/>
        </w:rP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: average real</w:t>
      </w:r>
      <w:r>
        <w:t xml:space="preserve"> </w:t>
      </w:r>
      <w:r>
        <w:t xml:space="preserve">childcare-worker wages were higher in 2022 than in 2019, by about</w:t>
      </w:r>
      <w:r>
        <w:t xml:space="preserve"> </w:t>
      </w:r>
      <w:r>
        <w:rPr>
          <w:b/>
        </w:rPr>
        <w:t xml:space="preserve">$485 a year (+1.8%)</w:t>
      </w:r>
      <w:r>
        <w:t xml:space="preserve">. The increase is</w:t>
      </w:r>
      <w:r>
        <w:t xml:space="preserve"> </w:t>
      </w:r>
      <w:r>
        <w:t xml:space="preserve">statistically significant but economically small:</w:t>
      </w:r>
    </w:p>
    <w:p>
      <w:pPr>
        <w:numPr>
          <w:ilvl w:val="0"/>
          <w:numId w:val="1002"/>
        </w:numPr>
        <w:pStyle w:val="Compact"/>
      </w:pPr>
      <w:r>
        <w:t xml:space="preserve">In nominal terms wages rose 16.5% from 2019 to 2022, but CPI-U rose 14.5%. Wage growth largely matched general</w:t>
      </w:r>
      <w:r>
        <w:t xml:space="preserve"> </w:t>
      </w:r>
      <w:r>
        <w:t xml:space="preserve">inflation.</w:t>
      </w:r>
    </w:p>
    <w:p>
      <w:pPr>
        <w:numPr>
          <w:ilvl w:val="0"/>
          <w:numId w:val="1002"/>
        </w:numPr>
        <w:pStyle w:val="Compact"/>
      </w:pPr>
      <w:r>
        <w:t xml:space="preserve">Real wages peaked in 2020–2021 and fell in 2022 (section 5).</w:t>
      </w:r>
    </w:p>
    <w:p>
      <w:pPr>
        <w:pStyle w:val="FirstParagraph"/>
      </w:pPr>
      <w:r>
        <w:rPr>
          <w:b/>
        </w:rPr>
        <w:t xml:space="preserve">On the providers’ claim:</w:t>
      </w:r>
      <w:r>
        <w:t xml:space="preserve"> </w:t>
      </w:r>
      <w:r>
        <w:t xml:space="preserve">labor costs did rise, and slightly faster than inflation, so wages contributed to cost</w:t>
      </w:r>
      <w:r>
        <w:t xml:space="preserve"> </w:t>
      </w:r>
      <w:r>
        <w:t xml:space="preserve">pressure. They are not a dramatic post-Covid shock, though: real wages rose less than 2% over three years. The</w:t>
      </w:r>
      <w:r>
        <w:t xml:space="preserve"> </w:t>
      </w:r>
      <w:r>
        <w:t xml:space="preserve">claim gains weight relative to prices. In the same metro counties, real center-based preschool (36–54 months)</w:t>
      </w:r>
      <w:r>
        <w:t xml:space="preserve"> </w:t>
      </w:r>
      <w:r>
        <w:t xml:space="preserve">prices</w:t>
      </w:r>
      <w:r>
        <w:t xml:space="preserve"> </w:t>
      </w:r>
      <w:r>
        <w:rPr>
          <w:i/>
        </w:rPr>
        <w:t xml:space="preserve">fell</w:t>
      </w:r>
      <w:r>
        <w:t xml:space="preserve"> </w:t>
      </w:r>
      <w:r>
        <w:t xml:space="preserve">3.9% between 2019 and 2022 (PS4 data, 991 counties). The wage bill therefore rose about 6% relative</w:t>
      </w:r>
      <w:r>
        <w:t xml:space="preserve"> </w:t>
      </w:r>
      <w:r>
        <w:t xml:space="preserve">to what centers charge, a margin squeeze consistent with providers’ complaints, even though wages did not surge.</w:t>
      </w:r>
    </w:p>
    <w:bookmarkEnd w:id="30"/>
    <w:bookmarkStart w:id="32" w:name="X4a97e32142d60094d53a2b56d0d7664c7c155b8"/>
    <w:p>
      <w:pPr>
        <w:pStyle w:val="Heading1"/>
      </w:pPr>
      <w:r>
        <w:t xml:space="preserve">7. Regression: wages on female college share, 2022</w:t>
      </w:r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wage</m:t>
              </m:r>
            </m:e>
            <m:sub>
              <m:r>
                <m:t>i</m:t>
              </m:r>
            </m:sub>
          </m:sSub>
          <m:r>
            <m:t>=</m:t>
          </m:r>
          <m:r>
            <m:t>a</m:t>
          </m:r>
          <m:r>
            <m:t>+</m:t>
          </m:r>
          <m:r>
            <m:t>b</m:t>
          </m:r>
          <m:r>
            <m:t>×</m:t>
          </m:r>
          <m:sSub>
            <m:e>
              <m:r>
                <m:rPr>
                  <m:nor/>
                  <m:sty m:val="p"/>
                </m:rPr>
                <m:t>female_college_share</m:t>
              </m:r>
            </m:e>
            <m:sub>
              <m:r>
                <m:t>i</m:t>
              </m:r>
            </m:sub>
          </m:sSub>
          <m:r>
            <m:t>+</m:t>
          </m:r>
          <m:sSub>
            <m:e>
              <m:r>
                <m:t>e</m:t>
              </m:r>
            </m:e>
            <m:sub>
              <m:r>
                <m:t>i</m:t>
              </m:r>
            </m:sub>
          </m:sSub>
          <m:r>
            <m:t>,</m:t>
          </m:r>
          <m:r>
            <m:t>  </m:t>
          </m:r>
          <m:r>
            <m:t>i</m:t>
          </m:r>
          <m:r>
            <m:t>=</m:t>
          </m:r>
          <m:r>
            <m:rPr>
              <m:nor/>
              <m:sty m:val="p"/>
            </m:rPr>
            <m:t>metro county, 2022</m:t>
          </m:r>
        </m:oMath>
      </m:oMathPara>
    </w:p>
    <w:p>
      <w:pPr>
        <w:pStyle w:val="FirstParagraph"/>
      </w:pPr>
      <w:r>
        <w:rPr>
          <w:rStyle w:val="VerbatimChar"/>
        </w:rPr>
        <w:t xml:space="preserve">female_college_share</w:t>
      </w:r>
      <w:r>
        <w:t xml:space="preserve"> </w:t>
      </w:r>
      <w:r>
        <w:t xml:space="preserve">is a fraction (0 to 1).</w:t>
      </w:r>
    </w:p>
    <w:tbl>
      <w:tblPr>
        <w:tblStyle w:val="Table"/>
        <w:tblW w:type="pct" w:w="4999.999999999999"/>
        <w:tblLook w:firstRow="1" w:lastRow="0" w:firstColumn="0" w:lastColumn="0" w:noHBand="0" w:noVBand="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/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Coefficient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Std. error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rPr>
                <w:i/>
              </w:rPr>
              <w:t xml:space="preserve">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p-value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95% CI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Intercept</w:t>
            </w:r>
            <w:r>
              <w:t xml:space="preserve"> </w:t>
            </w:r>
            <m:oMath>
              <m:r>
                <m:t>a</m:t>
              </m:r>
            </m:oMath>
          </w:p>
        </w:tc>
        <w:tc>
          <w:p>
            <w:pPr>
              <w:pStyle w:val="Compact"/>
              <w:jc w:val="left"/>
            </w:pPr>
            <w:r>
              <w:t xml:space="preserve">$22,359</w:t>
            </w:r>
          </w:p>
        </w:tc>
        <w:tc>
          <w:p>
            <w:pPr>
              <w:pStyle w:val="Compact"/>
              <w:jc w:val="left"/>
            </w:pPr>
            <w:r>
              <w:t xml:space="preserve">339</w:t>
            </w:r>
          </w:p>
        </w:tc>
        <w:tc>
          <w:p>
            <w:pPr>
              <w:pStyle w:val="Compact"/>
              <w:jc w:val="left"/>
            </w:pPr>
            <w:r>
              <w:t xml:space="preserve">65.9</w:t>
            </w:r>
          </w:p>
        </w:tc>
        <w:tc>
          <w:p>
            <w:pPr>
              <w:pStyle w:val="Compact"/>
              <w:jc w:val="left"/>
            </w:pPr>
            <w:r>
              <w:t xml:space="preserve">&lt; 0.001</w:t>
            </w:r>
          </w:p>
        </w:tc>
        <w:tc>
          <w:p>
            <w:pPr>
              <w:pStyle w:val="Compact"/>
              <w:jc w:val="left"/>
            </w:pPr>
            <w:r>
              <w:t xml:space="preserve">[$21,694, $23,025]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Female college share</w:t>
            </w:r>
            <w:r>
              <w:t xml:space="preserve"> </w:t>
            </w:r>
            <m:oMath>
              <m:r>
                <m:t>b</m:t>
              </m:r>
            </m:oMath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$16,500</w:t>
            </w:r>
          </w:p>
        </w:tc>
        <w:tc>
          <w:p>
            <w:pPr>
              <w:pStyle w:val="Compact"/>
              <w:jc w:val="left"/>
            </w:pPr>
            <w:r>
              <w:t xml:space="preserve">1,058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15.59</w:t>
            </w:r>
          </w:p>
        </w:tc>
        <w:tc>
          <w:p>
            <w:pPr>
              <w:pStyle w:val="Compact"/>
              <w:jc w:val="left"/>
            </w:pPr>
            <m:oMath>
              <m:r>
                <m:t>4.5</m:t>
              </m:r>
              <m:r>
                <m:t>×</m:t>
              </m:r>
              <m:sSup>
                <m:e>
                  <m:r>
                    <m:t>10</m:t>
                  </m:r>
                </m:e>
                <m:sup>
                  <m:r>
                    <m:t>−</m:t>
                  </m:r>
                  <m:r>
                    <m:t>50</m:t>
                  </m:r>
                </m:sup>
              </m:sSup>
            </m:oMath>
          </w:p>
        </w:tc>
        <w:tc>
          <w:p>
            <w:pPr>
              <w:pStyle w:val="Compact"/>
              <w:jc w:val="left"/>
            </w:pPr>
            <w:r>
              <w:t xml:space="preserve">[$14,424, $18,576]</w:t>
            </w:r>
          </w:p>
        </w:tc>
      </w:tr>
    </w:tbl>
    <w:p>
      <w:pPr>
        <w:pStyle w:val="BodyText"/>
      </w:pPr>
      <m:oMath>
        <m:r>
          <m:t>N</m:t>
        </m:r>
      </m:oMath>
      <w:r>
        <w:t xml:space="preserve"> </w:t>
      </w:r>
      <w:r>
        <w:t xml:space="preserve">= 1,208 metro counties (with both a wage and ACS data),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t>=</m:t>
        </m:r>
        <m:r>
          <m:t>0.168</m:t>
        </m:r>
      </m:oMath>
      <w:r>
        <w:t xml:space="preserve">.</w:t>
      </w:r>
    </w:p>
    <w:p>
      <w:pPr>
        <w:pStyle w:val="BodyText"/>
      </w:pPr>
      <w:r>
        <w:rPr>
          <w:b/>
        </w:rPr>
        <w:t xml:space="preserve">Can we reject that the coefficient is zero?</w:t>
      </w:r>
      <w:r>
        <w:t xml:space="preserve"> </w:t>
      </w:r>
      <w:r>
        <w:t xml:space="preserve">Yes. For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t>:</m:t>
        </m:r>
        <m:r>
          <m:t>b</m:t>
        </m:r>
        <m:r>
          <m:t>=</m:t>
        </m:r>
        <m:r>
          <m:t>0</m:t>
        </m:r>
      </m:oMath>
      <w:r>
        <w:t xml:space="preserve"> </w:t>
      </w:r>
      <w:r>
        <w:t xml:space="preserve">vs. 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t>:</m:t>
        </m:r>
        <m:r>
          <m:t>b</m:t>
        </m:r>
        <m:r>
          <m:t>≠</m:t>
        </m:r>
        <m:r>
          <m:t>0</m:t>
        </m:r>
      </m:oMath>
      <w:r>
        <w:t xml:space="preserve">,</w:t>
      </w:r>
      <w:r>
        <w:t xml:space="preserve"> </w:t>
      </w:r>
      <m:oMath>
        <m:r>
          <m:t>t</m:t>
        </m:r>
        <m:r>
          <m:t>=</m:t>
        </m:r>
        <m:r>
          <m:t>b</m:t>
        </m:r>
        <m:r>
          <m:t>/</m:t>
        </m:r>
        <m:r>
          <m:t>S</m:t>
        </m:r>
        <m:r>
          <m:t>E</m:t>
        </m:r>
        <m:r>
          <m:t>(</m:t>
        </m:r>
        <m:r>
          <m:t>b</m:t>
        </m:r>
        <m:r>
          <m:t>)</m:t>
        </m:r>
        <m:r>
          <m:t>=</m:t>
        </m:r>
        <m:r>
          <m:t>16</m:t>
        </m:r>
        <m:r>
          <m:t>,</m:t>
        </m:r>
        <m:r>
          <m:t>500</m:t>
        </m:r>
        <m:r>
          <m:t>/</m:t>
        </m:r>
        <m:r>
          <m:t>1</m:t>
        </m:r>
        <m:r>
          <m:t>,</m:t>
        </m:r>
        <m:r>
          <m:t>058</m:t>
        </m:r>
        <m:r>
          <m:t>=</m:t>
        </m:r>
        <m:r>
          <m:t>15.59</m:t>
        </m:r>
      </m:oMath>
      <w:r>
        <w:t xml:space="preserve">, far beyond the 5% critical value of 1.962 (</w:t>
      </w:r>
      <m:oMath>
        <m:r>
          <m:t>p</m:t>
        </m:r>
        <m:r>
          <m:t>≈</m:t>
        </m:r>
        <m:sSup>
          <m:e>
            <m:r>
              <m:t>10</m:t>
            </m:r>
          </m:e>
          <m:sup>
            <m:r>
              <m:t>−</m:t>
            </m:r>
            <m:r>
              <m:t>50</m:t>
            </m:r>
          </m:sup>
        </m:sSup>
      </m:oMath>
      <w:r>
        <w:t xml:space="preserve">).</w:t>
      </w:r>
    </w:p>
    <w:p>
      <w:pPr>
        <w:pStyle w:val="BodyText"/>
      </w:pPr>
      <w:r>
        <w:rPr>
          <w:b/>
        </w:rPr>
        <w:t xml:space="preserve">Interpretation.</w:t>
      </w:r>
      <w:r>
        <w:t xml:space="preserve"> </w:t>
      </w:r>
      <w:r>
        <w:t xml:space="preserve">A county whose share of college-educated women is</w:t>
      </w:r>
      <w:r>
        <w:t xml:space="preserve"> </w:t>
      </w:r>
      <w:r>
        <w:rPr>
          <w:b/>
        </w:rPr>
        <w:t xml:space="preserve">10 percentage points higher</w:t>
      </w:r>
      <w:r>
        <w:t xml:space="preserve"> </w:t>
      </w:r>
      <w:r>
        <w:t xml:space="preserve">has, on</w:t>
      </w:r>
      <w:r>
        <w:t xml:space="preserve"> </w:t>
      </w:r>
      <w:r>
        <w:t xml:space="preserve">average, childcare-worker wages about</w:t>
      </w:r>
      <w:r>
        <w:t xml:space="preserve"> </w:t>
      </w:r>
      <w:r>
        <w:rPr>
          <w:b/>
        </w:rPr>
        <w:t xml:space="preserve">$1,650 a year higher</w:t>
      </w:r>
      <w:r>
        <w:t xml:space="preserve"> </w:t>
      </w:r>
      <w:r>
        <w:t xml:space="preserve">(6% of the mean wage). Moving from a county at 20% to</w:t>
      </w:r>
      <w:r>
        <w:t xml:space="preserve"> </w:t>
      </w:r>
      <w:r>
        <w:t xml:space="preserve">one at 40% predicts about $3,300 more per year. This is an association, not a causal effect: a high female college</w:t>
      </w:r>
      <w:r>
        <w:t xml:space="preserve"> </w:t>
      </w:r>
      <w:r>
        <w:t xml:space="preserve">share marks richer, higher-cost metro areas (where childcare centers must pay more to attract staff, and where</w:t>
      </w:r>
      <w:r>
        <w:t xml:space="preserve"> </w:t>
      </w:r>
      <w:r>
        <w:t xml:space="preserve">more working mothers demand care). The share explains 17% of the variation in childcare wages across counties, so</w:t>
      </w:r>
      <w:r>
        <w:t xml:space="preserve"> </w:t>
      </w:r>
      <w:r>
        <w:t xml:space="preserve">other local factors matter a lot.</w:t>
      </w:r>
      <w:r>
        <w:rPr>
          <w:rStyle w:val="FootnoteReference"/>
        </w:rPr>
        <w:footnoteReference w:id="31"/>
      </w:r>
    </w:p>
    <w:bookmarkEnd w:id="32"/>
    <w:bookmarkStart w:id="33" w:name="data-handling-decisions"/>
    <w:p>
      <w:pPr>
        <w:pStyle w:val="Heading1"/>
      </w:pPr>
      <w:r>
        <w:t xml:space="preserve">Data-handling decisions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Metro sample</w:t>
      </w:r>
      <w:r>
        <w:t xml:space="preserve"> </w:t>
      </w:r>
      <w:r>
        <w:t xml:space="preserve">uses the year-specific crosswalk row (</w:t>
      </w:r>
      <w:r>
        <w:rPr>
          <w:rStyle w:val="VerbatimChar"/>
        </w:rPr>
        <w:t xml:space="preserve">oews_area</w:t>
      </w:r>
      <w:r>
        <w:t xml:space="preserve"> </w:t>
      </w:r>
      <w:r>
        <w:t xml:space="preserve">begins with</w:t>
      </w:r>
      <w:r>
        <w:t xml:space="preserve"> </w:t>
      </w:r>
      <w:r>
        <w:rPr>
          <w:rStyle w:val="VerbatimChar"/>
        </w:rPr>
        <w:t xml:space="preserve">00</w:t>
      </w:r>
      <w:r>
        <w:t xml:space="preserve">); FIPS codes are 5-character</w:t>
      </w:r>
      <w:r>
        <w:t xml:space="preserve"> </w:t>
      </w:r>
      <w:r>
        <w:t xml:space="preserve">and OEWS areas 7-character strings throughout.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County as the unit of analysis</w:t>
      </w:r>
      <w:r>
        <w:t xml:space="preserve">, including for the OEWS wage, which is measured per metro area.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Legacy county codes:</w:t>
      </w:r>
      <w:r>
        <w:t xml:space="preserve"> </w:t>
      </w:r>
      <w:r>
        <w:t xml:space="preserve">two crosswalk metro codes (12025 Dade, 51515 Bedford city) duplicate counties reported</w:t>
      </w:r>
      <w:r>
        <w:t xml:space="preserve"> </w:t>
      </w:r>
      <w:r>
        <w:t xml:space="preserve">under current codes (12086, 51019) and are dropped.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Connecticut 2022:</w:t>
      </w:r>
      <w:r>
        <w:t xml:space="preserve"> </w:t>
      </w:r>
      <w:r>
        <w:t xml:space="preserve">the 2022 ACS reports Connecticut by 9 planning regions instead of its 8 counties, so its 7</w:t>
      </w:r>
      <w:r>
        <w:t xml:space="preserve"> </w:t>
      </w:r>
      <w:r>
        <w:t xml:space="preserve">metro counties have no 2022 ACS values. They are kept in the panel but drop out of analyses that need ACS</w:t>
      </w:r>
      <w:r>
        <w:t xml:space="preserve"> </w:t>
      </w:r>
      <w:r>
        <w:t xml:space="preserve">variables (1.2% of the metro population; not influential).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OEWS files for 2015–2017</w:t>
      </w:r>
      <w:r>
        <w:t xml:space="preserve"> </w:t>
      </w:r>
      <w:r>
        <w:t xml:space="preserve">include the aggregate-MSA workbook (</w:t>
      </w:r>
      <w:r>
        <w:rPr>
          <w:rStyle w:val="VerbatimChar"/>
        </w:rPr>
        <w:t xml:space="preserve">aMSA_</w:t>
      </w:r>
      <w:r>
        <w:t xml:space="preserve">), which holds the 11 largest metro</w:t>
      </w:r>
      <w:r>
        <w:t xml:space="preserve"> </w:t>
      </w:r>
      <w:r>
        <w:t xml:space="preserve">areas that the MSA file reports only by metropolitan division (114 metro counties).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Suppressed or missing OEWS wages</w:t>
      </w:r>
      <w:r>
        <w:t xml:space="preserve"> </w:t>
      </w:r>
      <w:r>
        <w:t xml:space="preserve">stay missing (not imputed); N is reported for every statistic.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ACS vintages</w:t>
      </w:r>
      <w:r>
        <w:t xml:space="preserve"> </w:t>
      </w:r>
      <w:r>
        <w:t xml:space="preserve">are matched to the data year by their final survey year.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CPI-U</w:t>
      </w:r>
      <w:r>
        <w:t xml:space="preserve"> </w:t>
      </w:r>
      <w:r>
        <w:t xml:space="preserve">values were verified against the BLS API; real $ = nominal × CPI₂₀₂₂ / CPI_year.</w:t>
      </w:r>
    </w:p>
    <w:bookmarkEnd w:id="3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Connecticut switched its census geography to planning regions in the 2022 ACS, while the NDCP and the course</w:t>
      </w:r>
      <w:r>
        <w:t xml:space="preserve"> </w:t>
      </w:r>
      <w:r>
        <w:t xml:space="preserve">crosswalk still use the old counties. Its 7 metro counties hold 3.4 million people (1.2% of the metro population)</w:t>
      </w:r>
      <w:r>
        <w:t xml:space="preserve"> </w:t>
      </w:r>
      <w:r>
        <w:t xml:space="preserve">and are not outliers, so we drop them from 2022 analyses that use ACS variables rather than re-mapping regions to</w:t>
      </w:r>
      <w:r>
        <w:t xml:space="preserve"> </w:t>
      </w:r>
      <w:r>
        <w:t xml:space="preserve">counties.</w:t>
      </w:r>
    </w:p>
  </w:footnote>
  <w:footnote w:id="2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 xml:space="preserve">Same conclusion with ANOVA.</w:t>
      </w:r>
      <w:r>
        <w:t xml:space="preserve"> </w:t>
      </w:r>
      <w:r>
        <w:t xml:space="preserve">A one-way ANOVA of real wages on year (2019 vs. 2022), which assumes equal</w:t>
      </w:r>
      <w:r>
        <w:t xml:space="preserve"> </w:t>
      </w:r>
      <w:r>
        <w:t xml:space="preserve">variances, gives</w:t>
      </w:r>
      <w:r>
        <w:t xml:space="preserve"> </w:t>
      </w:r>
      <m:oMath>
        <m:r>
          <m:t>F</m:t>
        </m:r>
        <m:r>
          <m:t>=</m:t>
        </m:r>
        <m:r>
          <m:t>8.45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t>=</m:t>
        </m:r>
        <m:r>
          <m:t>0.0037</m:t>
        </m:r>
      </m:oMath>
      <w:r>
        <w:t xml:space="preserve">. With two groups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equals the pooled-variance</w:t>
      </w:r>
      <w:r>
        <w:t xml:space="preserve"> </w:t>
      </w:r>
      <w:r>
        <w:rPr>
          <w:i/>
        </w:rPr>
        <w:t xml:space="preserve">t</w:t>
      </w:r>
      <w:r>
        <w:t xml:space="preserve"> </w:t>
      </w:r>
      <w:r>
        <w:t xml:space="preserve">squared</w:t>
      </w:r>
      <w:r>
        <w:t xml:space="preserve"> </w:t>
      </w:r>
      <w:r>
        <w:t xml:space="preserve">(</w:t>
      </w:r>
      <m:oMath>
        <m:r>
          <m:t>t</m:t>
        </m:r>
        <m:r>
          <m:t>=</m:t>
        </m:r>
        <m:r>
          <m:t>2.906</m:t>
        </m:r>
      </m:oMath>
      <w:r>
        <w:t xml:space="preserve">,</w:t>
      </w:r>
      <w:r>
        <w:t xml:space="preserve"> </w:t>
      </w:r>
      <m:oMath>
        <m:sSup>
          <m:e>
            <m:r>
              <m:t>2.906</m:t>
            </m:r>
          </m:e>
          <m:sup>
            <m:r>
              <m:t>2</m:t>
            </m:r>
          </m:sup>
        </m:sSup>
        <m:r>
          <m:t>=</m:t>
        </m:r>
        <m:r>
          <m:t>8.45</m:t>
        </m:r>
      </m:oMath>
      <w:r>
        <w:t xml:space="preserve">), and the p-value is identical to Welch’s to three decimals. A Levene test, which is</w:t>
      </w:r>
      <w:r>
        <w:t xml:space="preserve"> </w:t>
      </w:r>
      <w:r>
        <w:t xml:space="preserve">less sensitive to the slight skew in wages, does not reject equal variances (</w:t>
      </w:r>
      <m:oMath>
        <m:r>
          <m:t>p</m:t>
        </m:r>
        <m:r>
          <m:t>=</m:t>
        </m:r>
        <m:r>
          <m:t>0.12</m:t>
        </m:r>
      </m:oMath>
      <w:r>
        <w:t xml:space="preserve">). Either way we reject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 the choice of test does not change the conclusion. The non-parametric Mann–Whitney test also rejects (</w:t>
      </w:r>
      <m:oMath>
        <m:r>
          <m:t>p</m:t>
        </m:r>
        <m:r>
          <m:t>=</m:t>
        </m:r>
        <m:r>
          <m:t>0.008</m:t>
        </m:r>
      </m:oMath>
      <w:r>
        <w:t xml:space="preserve">).</w:t>
      </w:r>
    </w:p>
  </w:footnote>
  <w:footnote w:id="2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 xml:space="preserve">Paired version.</w:t>
      </w:r>
      <w:r>
        <w:t xml:space="preserve"> </w:t>
      </w:r>
      <w:r>
        <w:t xml:space="preserve">Because the same counties appear in both years, the change can also be measured</w:t>
      </w:r>
      <w:r>
        <w:t xml:space="preserve"> </w:t>
      </w:r>
      <w:r>
        <w:t xml:space="preserve">within each county: the mean county-level change is +$456 (SE $53),</w:t>
      </w:r>
      <w:r>
        <w:t xml:space="preserve"> </w:t>
      </w:r>
      <m:oMath>
        <m:r>
          <m:t>t</m:t>
        </m:r>
        <m:r>
          <m:t>=</m:t>
        </m:r>
        <m:r>
          <m:t>8.58</m:t>
        </m:r>
      </m:oMath>
      <w:r>
        <w:t xml:space="preserve">,</w:t>
      </w:r>
      <w:r>
        <w:t xml:space="preserve"> </w:t>
      </w:r>
      <m:oMath>
        <m:r>
          <m:t>p</m:t>
        </m:r>
        <m:r>
          <m:t>&lt;</m:t>
        </m:r>
        <m:r>
          <m:t>0.001</m:t>
        </m:r>
      </m:oMath>
      <w:r>
        <w:t xml:space="preserve">, and wages rose in 62%</w:t>
      </w:r>
      <w:r>
        <w:t xml:space="preserve"> </w:t>
      </w:r>
      <w:r>
        <w:t xml:space="preserve">of counties. This test is more precise but leads to the same conclusion.</w:t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Counties in the same metro area share one OEWS wage, so they are not fully independent observations.</w:t>
      </w:r>
      <w:r>
        <w:t xml:space="preserve"> </w:t>
      </w:r>
      <w:r>
        <w:t xml:space="preserve">Allowing for this (standard errors clustered by metro area, 373 areas) raises the standard error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to 2,217;</w:t>
      </w:r>
      <w:r>
        <w:t xml:space="preserve"> </w:t>
      </w:r>
      <m:oMath>
        <m:r>
          <m:t>t</m:t>
        </m:r>
        <m:r>
          <m:t>=</m:t>
        </m:r>
        <m:r>
          <m:t>7.44</m:t>
        </m:r>
      </m:oMath>
      <w:r>
        <w:t xml:space="preserve"> </w:t>
      </w:r>
      <w:r>
        <w:t xml:space="preserve">still rejects</w:t>
      </w:r>
      <w:r>
        <w:t xml:space="preserve"> </w:t>
      </w:r>
      <m:oMath>
        <m:r>
          <m:t>b</m:t>
        </m:r>
        <m:r>
          <m:t>=</m:t>
        </m:r>
        <m:r>
          <m:t>0</m:t>
        </m:r>
      </m:oMath>
      <w:r>
        <w:t xml:space="preserve"> </w:t>
      </w:r>
      <w:r>
        <w:t xml:space="preserve">by a wide margin.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hAnsi="Calibri" w:eastAsia="Calibri" w:cs="Calibri"/>
        <w:sz w:val="21"/>
        <w:szCs w:val="21"/>
        <w:lang w:val="en-US" w:eastAsia="en-US" w:bidi="ar-SA"/>
      </w:rPr>
    </w:rPrDefault>
    <w:pPrDefault>
      <w:pPr>
        <w:spacing w:after="12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1F1F1F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1F1F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1F1F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F1F1F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1F1F1F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1F1F1F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1F1F1F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1F1F1F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1F1F1F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1F1F1F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  <w:pPr>
      <w:spacing w:before="0" w:after="40" w:line="240" w:lineRule="auto"/>
    </w:pPr>
    <w:rPr>
      <w:color w:val="595959"/>
      <w:sz w:val="17"/>
      <w:szCs w:val="17"/>
    </w:r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Borders>
        <w:top w:val="single" w:sz="8" w:space="0" w:color="52514E"/>
        <w:bottom w:val="single" w:sz="8" w:space="0" w:color="52514E"/>
        <w:insideH w:val="single" w:sz="4" w:space="0" w:color="D9D8D4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1F1F1F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1F1F1F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6" Target="media/rId26.png" /><Relationship Type="http://schemas.openxmlformats.org/officeDocument/2006/relationships/hyperlink" Id="rId20" Target="https://github.com/ignaciosanur/mgt403-childcare-project-green-cohort-7b" TargetMode="External" /></Relationships>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20" Target="https://github.com/ignaciosanur/mgt403-childcare-project-green-cohort-7b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MGT 403 — Problem Set 5, Question 3: Cost Drivers in Childcare</dc:title>
  <dc:creator/>
  <cp:keywords/>
  <dcterms:created xsi:type="dcterms:W3CDTF">2026-10-07T20:57:01Z</dcterms:created>
  <dcterms:modified xsi:type="dcterms:W3CDTF">2026-10-07T20:57:01Z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Team: Ignacio Sanchez Urdaneta · Beck Jamilov · Claudia Palacios Surco · Gary Chen</vt:lpwstr>
  </property>
</Properties>
</file>