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33.png" ContentType="image/png"/>
  <Override PartName="/word/media/rId3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MGT</w:t>
      </w:r>
      <w:r>
        <w:t xml:space="preserve"> </w:t>
      </w:r>
      <w:r>
        <w:t xml:space="preserve">403</w:t>
      </w:r>
      <w:r>
        <w:t xml:space="preserve"> </w:t>
      </w:r>
      <w:r>
        <w:t xml:space="preserve">—</w:t>
      </w:r>
      <w:r>
        <w:t xml:space="preserve"> </w:t>
      </w:r>
      <w:r>
        <w:t xml:space="preserve">Problem</w:t>
      </w:r>
      <w:r>
        <w:t xml:space="preserve"> </w:t>
      </w:r>
      <w:r>
        <w:t xml:space="preserve">Set</w:t>
      </w:r>
      <w:r>
        <w:t xml:space="preserve"> </w:t>
      </w:r>
      <w:r>
        <w:t xml:space="preserve">4,</w:t>
      </w:r>
      <w:r>
        <w:t xml:space="preserve"> </w:t>
      </w:r>
      <w:r>
        <w:t xml:space="preserve">Question</w:t>
      </w:r>
      <w:r>
        <w:t xml:space="preserve"> </w:t>
      </w:r>
      <w:r>
        <w:t xml:space="preserve">2:</w:t>
      </w:r>
      <w:r>
        <w:t xml:space="preserve"> </w:t>
      </w:r>
      <w:r>
        <w:t xml:space="preserve">The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Childcare</w:t>
      </w:r>
      <w:r>
        <w:t xml:space="preserve"> </w:t>
      </w:r>
      <w:r>
        <w:t xml:space="preserve">Prices</w:t>
      </w:r>
    </w:p>
    <w:p>
      <w:pPr>
        <w:pStyle w:val="Subtitle"/>
      </w:pPr>
      <w:r>
        <w:t xml:space="preserve">Team:</w:t>
      </w:r>
      <w:r>
        <w:t xml:space="preserve"> </w:t>
      </w:r>
      <w:r>
        <w:t xml:space="preserve">Ignacio</w:t>
      </w:r>
      <w:r>
        <w:t xml:space="preserve"> </w:t>
      </w:r>
      <w:r>
        <w:t xml:space="preserve">Sanchez</w:t>
      </w:r>
      <w:r>
        <w:t xml:space="preserve"> </w:t>
      </w:r>
      <w:r>
        <w:t xml:space="preserve">Urdaneta</w:t>
      </w:r>
      <w:r>
        <w:t xml:space="preserve"> </w:t>
      </w:r>
      <w:r>
        <w:t xml:space="preserve">·</w:t>
      </w:r>
      <w:r>
        <w:t xml:space="preserve"> </w:t>
      </w:r>
      <w:r>
        <w:t xml:space="preserve">Beck</w:t>
      </w:r>
      <w:r>
        <w:t xml:space="preserve"> </w:t>
      </w:r>
      <w:r>
        <w:t xml:space="preserve">Jamilov</w:t>
      </w:r>
      <w:r>
        <w:t xml:space="preserve"> </w:t>
      </w:r>
      <w:r>
        <w:t xml:space="preserve">·</w:t>
      </w:r>
      <w:r>
        <w:t xml:space="preserve"> </w:t>
      </w:r>
      <w:r>
        <w:t xml:space="preserve">Claudia</w:t>
      </w:r>
      <w:r>
        <w:t xml:space="preserve"> </w:t>
      </w:r>
      <w:r>
        <w:t xml:space="preserve">Palacios</w:t>
      </w:r>
      <w:r>
        <w:t xml:space="preserve"> </w:t>
      </w:r>
      <w:r>
        <w:t xml:space="preserve">Surco</w:t>
      </w:r>
      <w:r>
        <w:t xml:space="preserve"> </w:t>
      </w:r>
      <w:r>
        <w:t xml:space="preserve">·</w:t>
      </w:r>
      <w:r>
        <w:t xml:space="preserve"> </w:t>
      </w:r>
      <w:r>
        <w:t xml:space="preserve">Gary</w:t>
      </w:r>
      <w:r>
        <w:t xml:space="preserve"> </w:t>
      </w:r>
      <w:r>
        <w:t xml:space="preserve">Chen</w:t>
      </w:r>
    </w:p>
    <w:p>
      <w:pPr>
        <w:pStyle w:val="FirstParagraph"/>
      </w:pPr>
      <w:r>
        <w:rPr>
          <w:b/>
        </w:rPr>
        <w:t xml:space="preserve">Data.</w:t>
      </w:r>
      <w:r>
        <w:t xml:space="preserve"> </w:t>
      </w:r>
      <w:r>
        <w:t xml:space="preserve">DOL National Database of Childcare Prices (NDCP, 2024 release), variables</w:t>
      </w:r>
      <w:r>
        <w:t xml:space="preserve"> </w:t>
      </w:r>
      <w:r>
        <w:rPr>
          <w:rStyle w:val="VerbatimChar"/>
        </w:rPr>
        <w:t xml:space="preserve">MCINFANT</w:t>
      </w:r>
      <w:r>
        <w:t xml:space="preserve">,</w:t>
      </w:r>
      <w:r>
        <w:t xml:space="preserve"> </w:t>
      </w:r>
      <w:r>
        <w:rPr>
          <w:rStyle w:val="VerbatimChar"/>
        </w:rPr>
        <w:t xml:space="preserve">MCTODDLER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MCPRESCHOOL</w:t>
      </w:r>
      <w:r>
        <w:t xml:space="preserve"> </w:t>
      </w:r>
      <w:r>
        <w:t xml:space="preserve">— the county</w:t>
      </w:r>
      <w:r>
        <w:t xml:space="preserve"> </w:t>
      </w:r>
      <w:r>
        <w:rPr>
          <w:b/>
        </w:rPr>
        <w:t xml:space="preserve">median weekly full-time price of center-based care</w:t>
      </w:r>
      <w:r>
        <w:t xml:space="preserve"> </w:t>
      </w:r>
      <w:r>
        <w:t xml:space="preserve">(infant 0–23 months,</w:t>
      </w:r>
      <w:r>
        <w:t xml:space="preserve"> </w:t>
      </w:r>
      <w:r>
        <w:t xml:space="preserve">toddler 24–35 months, preschool 36–54 months), 2015–2022. These age groups are NDCP’s own standard definitions (Technical Report,</w:t>
      </w:r>
      <w:r>
        <w:t xml:space="preserve"> </w:t>
      </w:r>
      <w:r>
        <w:t xml:space="preserve">Appendix C data dictionary): NDCP enters prices in 6-month age bands and combines them into the three groups; we</w:t>
      </w:r>
      <w:r>
        <w:t xml:space="preserve"> </w:t>
      </w:r>
      <w:r>
        <w:t xml:space="preserve">did not redefine them. All code, data</w:t>
      </w:r>
      <w:r>
        <w:t xml:space="preserve"> </w:t>
      </w:r>
      <w:r>
        <w:t xml:space="preserve">and the prompt history are in the project repository,</w:t>
      </w:r>
      <w:r>
        <w:t xml:space="preserve"> </w:t>
      </w:r>
      <w:hyperlink r:id="rId20">
        <w:r>
          <w:rPr>
            <w:rStyle w:val="Hyperlink"/>
          </w:rPr>
          <w:t xml:space="preserve">https://github.com/ignaciosanur/mgt403-childcare-project-green-cohort-7b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Methods.</w:t>
      </w:r>
      <w:r>
        <w:t xml:space="preserve"> </w:t>
      </w:r>
      <w:r>
        <w:t xml:space="preserve">95% confidence intervals use the large-sample (CLT) formula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t>±</m:t>
        </m:r>
        <m:r>
          <m:t>1.96</m:t>
        </m:r>
        <m:r>
          <m:t> </m:t>
        </m:r>
        <m:r>
          <m:t>s</m:t>
        </m:r>
        <m:r>
          <m:t>/</m:t>
        </m:r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. The</w:t>
      </w:r>
      <w:r>
        <w:t xml:space="preserve"> </w:t>
      </w:r>
      <w:r>
        <w:t xml:space="preserve">voucher test in Q4 uses the one-sample</w:t>
      </w:r>
      <w:r>
        <w:t xml:space="preserve"> </w:t>
      </w:r>
      <w:r>
        <w:rPr>
          <w:i/>
        </w:rPr>
        <w:t xml:space="preserve">t</w:t>
      </w:r>
      <w:r>
        <w:t xml:space="preserve">-statistic with</w:t>
      </w:r>
      <w:r>
        <w:t xml:space="preserve"> </w:t>
      </w:r>
      <m:oMath>
        <m:r>
          <m:t>n</m:t>
        </m:r>
        <m:r>
          <m:t>−</m:t>
        </m:r>
        <m:r>
          <m:t>1</m:t>
        </m:r>
      </m:oMath>
      <w:r>
        <w:t xml:space="preserve"> </w:t>
      </w:r>
      <w:r>
        <w:t xml:space="preserve">degrees of freedom. With</w:t>
      </w:r>
      <w:r>
        <w:t xml:space="preserve"> </w:t>
      </w:r>
      <m:oMath>
        <m:r>
          <m:t>n</m:t>
        </m:r>
        <m:r>
          <m:t>&gt;</m:t>
        </m:r>
        <m:r>
          <m:t>1</m:t>
        </m:r>
        <m:r>
          <m:t>,</m:t>
        </m:r>
        <m:r>
          <m:t>000</m:t>
        </m:r>
      </m:oMath>
      <w:r>
        <w:t xml:space="preserve"> </w:t>
      </w:r>
      <w:r>
        <w:t xml:space="preserve">counties the</w:t>
      </w:r>
      <w:r>
        <w:t xml:space="preserve"> </w:t>
      </w:r>
      <w:r>
        <w:rPr>
          <w:i/>
        </w:rPr>
        <w:t xml:space="preserve">t</w:t>
      </w:r>
      <w:r>
        <w:t xml:space="preserve"> </w:t>
      </w:r>
      <w:r>
        <w:t xml:space="preserve">and normal distributions are practically identical (</w:t>
      </w:r>
      <m:oMath>
        <m:sSub>
          <m:e>
            <m:r>
              <m:t>t</m:t>
            </m:r>
          </m:e>
          <m:sub>
            <m:r>
              <m:t>0.975</m:t>
            </m:r>
            <m:r>
              <m:t>,</m:t>
            </m:r>
            <m:r>
              <m:t> </m:t>
            </m:r>
            <m:r>
              <m:t>1012</m:t>
            </m:r>
          </m:sub>
        </m:sSub>
        <m:r>
          <m:t>=</m:t>
        </m:r>
        <m:r>
          <m:t>1.962</m:t>
        </m:r>
      </m:oMath>
      <w:r>
        <w:t xml:space="preserve"> </w:t>
      </w:r>
      <w:r>
        <w:t xml:space="preserve">vs. </w:t>
      </w:r>
      <m:oMath>
        <m:r>
          <m:t>1.960</m:t>
        </m:r>
      </m:oMath>
      <w:r>
        <w:t xml:space="preserve">), so the choice</w:t>
      </w:r>
      <w:r>
        <w:t xml:space="preserve"> </w:t>
      </w:r>
      <w:r>
        <w:t xml:space="preserve">does not affect any conclusion.</w:t>
      </w:r>
    </w:p>
    <w:p>
      <w:pPr>
        <w:pStyle w:val="BodyText"/>
      </w:pPr>
      <w:r>
        <w:rPr>
          <w:b/>
        </w:rPr>
        <w:t xml:space="preserve">Sample or population?</w:t>
      </w:r>
      <w:r>
        <w:t xml:space="preserve"> </w:t>
      </w:r>
      <w:r>
        <w:t xml:space="preserve">Our data cover every metro county with a reported price, not a random draw, so as a</w:t>
      </w:r>
      <w:r>
        <w:t xml:space="preserve"> </w:t>
      </w:r>
      <w:r>
        <w:rPr>
          <w:i/>
        </w:rPr>
        <w:t xml:space="preserve">description of these counties</w:t>
      </w:r>
      <w:r>
        <w:t xml:space="preserve"> </w:t>
      </w:r>
      <w:r>
        <w:t xml:space="preserve">they are close to a population. We still use sample tools (SD with divisor</w:t>
      </w:r>
      <w:r>
        <w:t xml:space="preserve"> </w:t>
      </w:r>
      <m:oMath>
        <m:r>
          <m:t>n</m:t>
        </m:r>
        <m: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standard errors and CIs), as the assignment asks, for two reasons. (i) The question is about the underlying price</w:t>
      </w:r>
      <w:r>
        <w:t xml:space="preserve"> </w:t>
      </w:r>
      <w:r>
        <w:t xml:space="preserve">level (e.g. what the</w:t>
      </w:r>
      <w:r>
        <w:t xml:space="preserve"> </w:t>
      </w:r>
      <w:r>
        <w:t xml:space="preserve">“</w:t>
      </w:r>
      <w:r>
        <w:t xml:space="preserve">average metro area</w:t>
      </w:r>
      <w:r>
        <w:t xml:space="preserve">”</w:t>
      </w:r>
      <w:r>
        <w:t xml:space="preserve"> </w:t>
      </w:r>
      <w:r>
        <w:t xml:space="preserve">pays), and each year’s county prices are one realization of it. (ii)</w:t>
      </w:r>
      <w:r>
        <w:t xml:space="preserve"> </w:t>
      </w:r>
      <w:r>
        <w:t xml:space="preserve">Each county value is itself an estimate from a state market-rate survey of providers. In practice the choice barely</w:t>
      </w:r>
      <w:r>
        <w:t xml:space="preserve"> </w:t>
      </w:r>
      <w:r>
        <w:t xml:space="preserve">matters: the population SD (divisor</w:t>
      </w:r>
      <w:r>
        <w:t xml:space="preserve"> </w:t>
      </w:r>
      <m:oMath>
        <m:r>
          <m:t>n</m:t>
        </m:r>
      </m:oMath>
      <w:r>
        <w:t xml:space="preserve">) differs from the sample SD by 0.05% (preschool $59.95 vs $59.98). We do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apply a finite-population correction for the ~222 metro counties without prices, because they are missing by</w:t>
      </w:r>
      <w:r>
        <w:t xml:space="preserve"> </w:t>
      </w:r>
      <w:r>
        <w:t xml:space="preserve">whole state (PA, IN, MO, NM, PR, AR), not at random.</w:t>
      </w:r>
    </w:p>
    <w:bookmarkStart w:id="21" w:name="metro-analysis-sample"/>
    <w:p>
      <w:pPr>
        <w:pStyle w:val="Heading1"/>
      </w:pPr>
      <w:r>
        <w:t xml:space="preserve">1. Metro analysis sample</w:t>
      </w:r>
    </w:p>
    <w:p>
      <w:pPr>
        <w:pStyle w:val="FirstParagraph"/>
      </w:pPr>
      <w:r>
        <w:t xml:space="preserve">We merged NDCP to the course crosswalk</w:t>
      </w:r>
      <w:r>
        <w:t xml:space="preserve"> </w:t>
      </w:r>
      <w:r>
        <w:rPr>
          <w:rStyle w:val="VerbatimChar"/>
        </w:rPr>
        <w:t xml:space="preserve">county_oews_crosswalk.csv</w:t>
      </w:r>
      <w:r>
        <w:t xml:space="preserve"> </w:t>
      </w:r>
      <w:r>
        <w:t xml:space="preserve">on county FIPS (5-character text) × year,</w:t>
      </w:r>
      <w:r>
        <w:t xml:space="preserve"> </w:t>
      </w:r>
      <w:r>
        <w:t xml:space="preserve">using</w:t>
      </w:r>
      <w:r>
        <w:t xml:space="preserve"> </w:t>
      </w:r>
      <w:r>
        <w:rPr>
          <w:b/>
        </w:rPr>
        <w:t xml:space="preserve">each year’s own crosswalk row</w:t>
      </w:r>
      <w:r>
        <w:t xml:space="preserve">, and kept counties whose</w:t>
      </w:r>
      <w:r>
        <w:t xml:space="preserve"> </w:t>
      </w:r>
      <w:r>
        <w:rPr>
          <w:rStyle w:val="VerbatimChar"/>
        </w:rPr>
        <w:t xml:space="preserve">oews_area</w:t>
      </w:r>
      <w:r>
        <w:t xml:space="preserve"> </w:t>
      </w:r>
      <w:r>
        <w:t xml:space="preserve">begins with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(OEWS</w:t>
      </w:r>
      <w:r>
        <w:t xml:space="preserve"> </w:t>
      </w:r>
      <w:r>
        <w:t xml:space="preserve">metropolitan areas). All 25,763 NDCP county-year rows matched the crosswalk.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NDCP counties</w:t>
            </w:r>
          </w:p>
        </w:tc>
        <w:tc>
          <w:p>
            <w:pPr>
              <w:pStyle w:val="Compact"/>
              <w:jc w:val="left"/>
            </w:pPr>
            <w:r>
              <w:t xml:space="preserve">3,220</w:t>
            </w:r>
          </w:p>
        </w:tc>
        <w:tc>
          <w:p>
            <w:pPr>
              <w:pStyle w:val="Compact"/>
              <w:jc w:val="left"/>
            </w:pPr>
            <w:r>
              <w:t xml:space="preserve">3,220</w:t>
            </w:r>
          </w:p>
        </w:tc>
        <w:tc>
          <w:p>
            <w:pPr>
              <w:pStyle w:val="Compact"/>
              <w:jc w:val="left"/>
            </w:pPr>
            <w:r>
              <w:t xml:space="preserve">3,220</w:t>
            </w:r>
          </w:p>
        </w:tc>
        <w:tc>
          <w:p>
            <w:pPr>
              <w:pStyle w:val="Compact"/>
              <w:jc w:val="left"/>
            </w:pPr>
            <w:r>
              <w:t xml:space="preserve">3,220</w:t>
            </w:r>
          </w:p>
        </w:tc>
        <w:tc>
          <w:p>
            <w:pPr>
              <w:pStyle w:val="Compact"/>
              <w:jc w:val="left"/>
            </w:pPr>
            <w:r>
              <w:t xml:space="preserve">3,220</w:t>
            </w:r>
          </w:p>
        </w:tc>
        <w:tc>
          <w:p>
            <w:pPr>
              <w:pStyle w:val="Compact"/>
              <w:jc w:val="left"/>
            </w:pPr>
            <w:r>
              <w:t xml:space="preserve">3,221</w:t>
            </w:r>
          </w:p>
        </w:tc>
        <w:tc>
          <w:p>
            <w:pPr>
              <w:pStyle w:val="Compact"/>
              <w:jc w:val="left"/>
            </w:pPr>
            <w:r>
              <w:t xml:space="preserve">3,221</w:t>
            </w:r>
          </w:p>
        </w:tc>
        <w:tc>
          <w:p>
            <w:pPr>
              <w:pStyle w:val="Compact"/>
              <w:jc w:val="left"/>
            </w:pPr>
            <w:r>
              <w:t xml:space="preserve">3,221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Metro counties</w:t>
            </w:r>
          </w:p>
        </w:tc>
        <w:tc>
          <w:p>
            <w:pPr>
              <w:pStyle w:val="Compact"/>
              <w:jc w:val="left"/>
            </w:pPr>
            <w:r>
              <w:t xml:space="preserve">1,233</w:t>
            </w:r>
          </w:p>
        </w:tc>
        <w:tc>
          <w:p>
            <w:pPr>
              <w:pStyle w:val="Compact"/>
              <w:jc w:val="left"/>
            </w:pPr>
            <w:r>
              <w:t xml:space="preserve">1,233</w:t>
            </w:r>
          </w:p>
        </w:tc>
        <w:tc>
          <w:p>
            <w:pPr>
              <w:pStyle w:val="Compact"/>
              <w:jc w:val="left"/>
            </w:pPr>
            <w:r>
              <w:t xml:space="preserve">1,234</w:t>
            </w:r>
          </w:p>
        </w:tc>
        <w:tc>
          <w:p>
            <w:pPr>
              <w:pStyle w:val="Compact"/>
              <w:jc w:val="left"/>
            </w:pPr>
            <w:r>
              <w:t xml:space="preserve">1,233</w:t>
            </w:r>
          </w:p>
        </w:tc>
        <w:tc>
          <w:p>
            <w:pPr>
              <w:pStyle w:val="Compact"/>
              <w:jc w:val="left"/>
            </w:pPr>
            <w:r>
              <w:t xml:space="preserve">1,235</w:t>
            </w:r>
          </w:p>
        </w:tc>
        <w:tc>
          <w:p>
            <w:pPr>
              <w:pStyle w:val="Compact"/>
              <w:jc w:val="left"/>
            </w:pPr>
            <w:r>
              <w:t xml:space="preserve">1,235</w:t>
            </w:r>
          </w:p>
        </w:tc>
        <w:tc>
          <w:p>
            <w:pPr>
              <w:pStyle w:val="Compact"/>
              <w:jc w:val="left"/>
            </w:pPr>
            <w:r>
              <w:t xml:space="preserve">1,235</w:t>
            </w:r>
          </w:p>
        </w:tc>
        <w:tc>
          <w:p>
            <w:pPr>
              <w:pStyle w:val="Compact"/>
              <w:jc w:val="left"/>
            </w:pPr>
            <w:r>
              <w:t xml:space="preserve">1,235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 with preschool price</w:t>
            </w:r>
          </w:p>
        </w:tc>
        <w:tc>
          <w:p>
            <w:pPr>
              <w:pStyle w:val="Compact"/>
              <w:jc w:val="left"/>
            </w:pPr>
            <w:r>
              <w:t xml:space="preserve">1,003</w:t>
            </w:r>
          </w:p>
        </w:tc>
        <w:tc>
          <w:p>
            <w:pPr>
              <w:pStyle w:val="Compact"/>
              <w:jc w:val="left"/>
            </w:pPr>
            <w:r>
              <w:t xml:space="preserve">1,025</w:t>
            </w:r>
          </w:p>
        </w:tc>
        <w:tc>
          <w:p>
            <w:pPr>
              <w:pStyle w:val="Compact"/>
              <w:jc w:val="left"/>
            </w:pPr>
            <w:r>
              <w:t xml:space="preserve">1,063</w:t>
            </w:r>
          </w:p>
        </w:tc>
        <w:tc>
          <w:p>
            <w:pPr>
              <w:pStyle w:val="Compact"/>
              <w:jc w:val="left"/>
            </w:pPr>
            <w:r>
              <w:t xml:space="preserve">1,063</w:t>
            </w:r>
          </w:p>
        </w:tc>
        <w:tc>
          <w:p>
            <w:pPr>
              <w:pStyle w:val="Compact"/>
              <w:jc w:val="left"/>
            </w:pPr>
            <w:r>
              <w:t xml:space="preserve">1,063</w:t>
            </w:r>
          </w:p>
        </w:tc>
        <w:tc>
          <w:p>
            <w:pPr>
              <w:pStyle w:val="Compact"/>
              <w:jc w:val="left"/>
            </w:pPr>
            <w:r>
              <w:t xml:space="preserve">1,063</w:t>
            </w:r>
          </w:p>
        </w:tc>
        <w:tc>
          <w:p>
            <w:pPr>
              <w:pStyle w:val="Compact"/>
              <w:jc w:val="left"/>
            </w:pPr>
            <w:r>
              <w:t xml:space="preserve">918</w:t>
            </w:r>
          </w:p>
        </w:tc>
        <w:tc>
          <w:p>
            <w:pPr>
              <w:pStyle w:val="Compact"/>
              <w:jc w:val="left"/>
            </w:pPr>
            <w:r>
              <w:t xml:space="preserve">1,013</w:t>
            </w:r>
          </w:p>
        </w:tc>
      </w:tr>
    </w:tbl>
    <w:p>
      <w:pPr>
        <w:pStyle w:val="BodyText"/>
      </w:pPr>
      <w:r>
        <w:t xml:space="preserve">The crosswalk lists 1,237 metro counties in 2022; the two not in NDCP are legacy codes for counties that NDCP</w:t>
      </w:r>
      <w:r>
        <w:t xml:space="preserve"> </w:t>
      </w:r>
      <w:r>
        <w:t xml:space="preserve">reports under their current code (12025 Dade → 12086 Miami-Dade; 51515 Bedford city → 51019 Bedford</w:t>
      </w:r>
      <w:r>
        <w:t xml:space="preserve"> </w:t>
      </w:r>
      <w:r>
        <w:t xml:space="preserve">County), so no metro county is lost. In 2022, 222 metro counties have no center-based price (all of Puerto</w:t>
      </w:r>
      <w:r>
        <w:t xml:space="preserve"> </w:t>
      </w:r>
      <w:r>
        <w:t xml:space="preserve">Rico, Indiana, Pennsylvania, Missouri and Arkansas, plus a few others): the state did not report usable data.</w:t>
      </w:r>
    </w:p>
    <w:bookmarkEnd w:id="21"/>
    <w:bookmarkStart w:id="24" w:name="distribution-of-2022-prices-by-age-group"/>
    <w:p>
      <w:pPr>
        <w:pStyle w:val="Heading1"/>
      </w:pPr>
      <w:r>
        <w:t xml:space="preserve">2. Distribution of 2022 prices by age group</w:t>
      </w:r>
    </w:p>
    <w:p>
      <w:pPr>
        <w:pStyle w:val="FirstParagraph"/>
      </w:pPr>
      <w:r>
        <w:drawing>
          <wp:inline>
            <wp:extent cx="5334000" cy="19811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s4_output/fig_hist_202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Center-based, 2022 (weekly $)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 = s/√n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95% CI for the mean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Infant (0–23 months)</w:t>
            </w:r>
          </w:p>
        </w:tc>
        <w:tc>
          <w:p>
            <w:pPr>
              <w:pStyle w:val="Compact"/>
              <w:jc w:val="left"/>
            </w:pPr>
            <w:r>
              <w:t xml:space="preserve">1,012</w:t>
            </w:r>
          </w:p>
        </w:tc>
        <w:tc>
          <w:p>
            <w:pPr>
              <w:pStyle w:val="Compact"/>
              <w:jc w:val="left"/>
            </w:pPr>
            <w:r>
              <w:t xml:space="preserve">214.95</w:t>
            </w:r>
          </w:p>
        </w:tc>
        <w:tc>
          <w:p>
            <w:pPr>
              <w:pStyle w:val="Compact"/>
              <w:jc w:val="left"/>
            </w:pPr>
            <w:r>
              <w:t xml:space="preserve">198.93</w:t>
            </w:r>
          </w:p>
        </w:tc>
        <w:tc>
          <w:p>
            <w:pPr>
              <w:pStyle w:val="Compact"/>
              <w:jc w:val="left"/>
            </w:pPr>
            <w:r>
              <w:t xml:space="preserve">82.96</w:t>
            </w:r>
          </w:p>
        </w:tc>
        <w:tc>
          <w:p>
            <w:pPr>
              <w:pStyle w:val="Compact"/>
              <w:jc w:val="left"/>
            </w:pPr>
            <w:r>
              <w:t xml:space="preserve">2.61</w:t>
            </w:r>
          </w:p>
        </w:tc>
        <w:tc>
          <w:p>
            <w:pPr>
              <w:pStyle w:val="Compact"/>
              <w:jc w:val="left"/>
            </w:pPr>
            <w:r>
              <w:t xml:space="preserve">[209.84, 220.07]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Toddler (24–35 months)</w:t>
            </w:r>
          </w:p>
        </w:tc>
        <w:tc>
          <w:p>
            <w:pPr>
              <w:pStyle w:val="Compact"/>
              <w:jc w:val="left"/>
            </w:pPr>
            <w:r>
              <w:t xml:space="preserve">1,011</w:t>
            </w:r>
          </w:p>
        </w:tc>
        <w:tc>
          <w:p>
            <w:pPr>
              <w:pStyle w:val="Compact"/>
              <w:jc w:val="left"/>
            </w:pPr>
            <w:r>
              <w:t xml:space="preserve">186.46</w:t>
            </w:r>
          </w:p>
        </w:tc>
        <w:tc>
          <w:p>
            <w:pPr>
              <w:pStyle w:val="Compact"/>
              <w:jc w:val="left"/>
            </w:pPr>
            <w:r>
              <w:t xml:space="preserve">170.00</w:t>
            </w:r>
          </w:p>
        </w:tc>
        <w:tc>
          <w:p>
            <w:pPr>
              <w:pStyle w:val="Compact"/>
              <w:jc w:val="left"/>
            </w:pPr>
            <w:r>
              <w:t xml:space="preserve">66.37</w:t>
            </w:r>
          </w:p>
        </w:tc>
        <w:tc>
          <w:p>
            <w:pPr>
              <w:pStyle w:val="Compact"/>
              <w:jc w:val="left"/>
            </w:pPr>
            <w:r>
              <w:t xml:space="preserve">2.09</w:t>
            </w:r>
          </w:p>
        </w:tc>
        <w:tc>
          <w:p>
            <w:pPr>
              <w:pStyle w:val="Compact"/>
              <w:jc w:val="left"/>
            </w:pPr>
            <w:r>
              <w:t xml:space="preserve">[182.36, 190.55]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Preschool (36–54 months)</w:t>
            </w:r>
          </w:p>
        </w:tc>
        <w:tc>
          <w:p>
            <w:pPr>
              <w:pStyle w:val="Compact"/>
              <w:jc w:val="left"/>
            </w:pPr>
            <w:r>
              <w:t xml:space="preserve">1,013</w:t>
            </w:r>
          </w:p>
        </w:tc>
        <w:tc>
          <w:p>
            <w:pPr>
              <w:pStyle w:val="Compact"/>
              <w:jc w:val="left"/>
            </w:pPr>
            <w:r>
              <w:t xml:space="preserve">175.09</w:t>
            </w:r>
          </w:p>
        </w:tc>
        <w:tc>
          <w:p>
            <w:pPr>
              <w:pStyle w:val="Compact"/>
              <w:jc w:val="left"/>
            </w:pPr>
            <w:r>
              <w:t xml:space="preserve">162.50</w:t>
            </w:r>
          </w:p>
        </w:tc>
        <w:tc>
          <w:p>
            <w:pPr>
              <w:pStyle w:val="Compact"/>
              <w:jc w:val="left"/>
            </w:pPr>
            <w:r>
              <w:t xml:space="preserve">59.98</w:t>
            </w:r>
          </w:p>
        </w:tc>
        <w:tc>
          <w:p>
            <w:pPr>
              <w:pStyle w:val="Compact"/>
              <w:jc w:val="left"/>
            </w:pPr>
            <w:r>
              <w:t xml:space="preserve">1.88</w:t>
            </w:r>
          </w:p>
        </w:tc>
        <w:tc>
          <w:p>
            <w:pPr>
              <w:pStyle w:val="Compact"/>
              <w:jc w:val="left"/>
            </w:pPr>
            <w:r>
              <w:t xml:space="preserve">[171.39, 178.78]</w:t>
            </w:r>
          </w:p>
        </w:tc>
      </w:tr>
    </w:tbl>
    <w:p>
      <w:pPr>
        <w:pStyle w:val="BodyText"/>
      </w:pPr>
      <w:r>
        <w:rPr>
          <w:b/>
        </w:rPr>
        <w:t xml:space="preserve">Discussion.</w:t>
      </w:r>
      <w:r>
        <w:t xml:space="preserve"> </w:t>
      </w:r>
      <w:r>
        <w:t xml:space="preserve">Prices fall with the child’s age: the average metro county charges about $215/week for</w:t>
      </w:r>
      <w:r>
        <w:t xml:space="preserve"> </w:t>
      </w:r>
      <w:r>
        <w:t xml:space="preserve">infant care, $186 for toddlers and $175 for preschoolers. The three 95% CIs do not overlap, so the</w:t>
      </w:r>
      <w:r>
        <w:t xml:space="preserve"> </w:t>
      </w:r>
      <w:r>
        <w:t xml:space="preserve">differences are not sampling noise. Because the same counties report all three prices, a sharper</w:t>
      </w:r>
      <w:r>
        <w:t xml:space="preserve"> </w:t>
      </w:r>
      <w:r>
        <w:t xml:space="preserve">comparison is the within-county difference: infant care is on average $28.5 more than toddler care</w:t>
      </w:r>
      <w:r>
        <w:t xml:space="preserve"> </w:t>
      </w:r>
      <w:r>
        <w:t xml:space="preserve">(SE 0.97,</w:t>
      </w:r>
      <w:r>
        <w:t xml:space="preserve"> </w:t>
      </w:r>
      <w:r>
        <w:rPr>
          <w:i/>
        </w:rPr>
        <w:t xml:space="preserve">z</w:t>
      </w:r>
      <w:r>
        <w:t xml:space="preserve"> </w:t>
      </w:r>
      <w:r>
        <w:t xml:space="preserve">≈ 29) and $39.8 more than preschool (SE 1.16,</w:t>
      </w:r>
      <w:r>
        <w:t xml:space="preserve"> </w:t>
      </w:r>
      <w:r>
        <w:rPr>
          <w:i/>
        </w:rPr>
        <w:t xml:space="preserve">z</w:t>
      </w:r>
      <w:r>
        <w:t xml:space="preserve"> </w:t>
      </w:r>
      <w:r>
        <w:t xml:space="preserve">≈ 34); toddler exceeds preschool by</w:t>
      </w:r>
      <w:r>
        <w:t xml:space="preserve"> </w:t>
      </w:r>
      <w:r>
        <w:t xml:space="preserve">$11.3 (SE 0.60,</w:t>
      </w:r>
      <w:r>
        <w:t xml:space="preserve"> </w:t>
      </w:r>
      <w:r>
        <w:rPr>
          <w:i/>
        </w:rPr>
        <w:t xml:space="preserve">z</w:t>
      </w:r>
      <w:r>
        <w:t xml:space="preserve"> </w:t>
      </w:r>
      <w:r>
        <w:t xml:space="preserve">≈ 19).</w:t>
      </w:r>
      <w:r>
        <w:rPr>
          <w:rStyle w:val="FootnoteReference"/>
        </w:rPr>
        <w:footnoteReference w:id="23"/>
      </w:r>
      <w:r>
        <w:t xml:space="preserve"> </w:t>
      </w:r>
      <w:r>
        <w:t xml:space="preserve">Infant care costs more than preschool in 96% of counties, and the median county’s infant price is 1.17× its</w:t>
      </w:r>
      <w:r>
        <w:t xml:space="preserve"> </w:t>
      </w:r>
      <w:r>
        <w:t xml:space="preserve">preschool price. This matches the cost structure of centers: state staff-to-child ratio rules require far</w:t>
      </w:r>
      <w:r>
        <w:t xml:space="preserve"> </w:t>
      </w:r>
      <w:r>
        <w:t xml:space="preserve">more teachers per infant (often 1:4) than per preschooler (often 1:10), and labor is the main cost.</w:t>
      </w:r>
    </w:p>
    <w:p>
      <w:pPr>
        <w:pStyle w:val="BodyText"/>
      </w:pPr>
      <w:r>
        <w:t xml:space="preserve">All three distributions are</w:t>
      </w:r>
      <w:r>
        <w:t xml:space="preserve"> </w:t>
      </w:r>
      <w:r>
        <w:rPr>
          <w:b/>
        </w:rPr>
        <w:t xml:space="preserve">right-skewed</w:t>
      </w:r>
      <w:r>
        <w:t xml:space="preserve"> </w:t>
      </w:r>
      <w:r>
        <w:t xml:space="preserve">(skewness 1.3–1.4; mean above median). Most metro counties</w:t>
      </w:r>
      <w:r>
        <w:t xml:space="preserve"> </w:t>
      </w:r>
      <w:r>
        <w:t xml:space="preserve">sit between $110 and $250 a week, with a long tail of expensive, high-income metros (e.g. preschool at</w:t>
      </w:r>
      <w:r>
        <w:t xml:space="preserve"> </w:t>
      </w:r>
      <w:r>
        <w:t xml:space="preserve">Arlington VA $496, San Francisco $477, San Mateo $437, Marin $433). The spread is also larger for</w:t>
      </w:r>
      <w:r>
        <w:t xml:space="preserve"> </w:t>
      </w:r>
      <w:r>
        <w:t xml:space="preserve">younger children (SD $83 vs $60), both in dollars and relative to the mean (coefficient of variation 0.39 vs 0.34).</w:t>
      </w:r>
    </w:p>
    <w:p>
      <w:pPr>
        <w:pStyle w:val="BodyText"/>
      </w:pPr>
      <w:r>
        <w:rPr>
          <w:i/>
        </w:rPr>
        <w:t xml:space="preserve">Weighting.</w:t>
      </w:r>
      <w:r>
        <w:t xml:space="preserve"> </w:t>
      </w:r>
      <w:r>
        <w:t xml:space="preserve">The statistics above treat every metro county equally, since each county is one candidate market.</w:t>
      </w:r>
      <w:r>
        <w:t xml:space="preserve"> </w:t>
      </w:r>
      <w:r>
        <w:t xml:space="preserve">Weighting counties by their number of children under 6 (ACS 2022) raises the 2022 means to $269 (infant),</w:t>
      </w:r>
      <w:r>
        <w:t xml:space="preserve"> </w:t>
      </w:r>
      <w:r>
        <w:t xml:space="preserve">$226 (toddler) and $211 (preschool). Large metro counties charge more, so the typical child faces higher prices</w:t>
      </w:r>
      <w:r>
        <w:t xml:space="preserve"> </w:t>
      </w:r>
      <w:r>
        <w:t xml:space="preserve">than the typical county.</w:t>
      </w:r>
    </w:p>
    <w:bookmarkEnd w:id="24"/>
    <w:bookmarkStart w:id="28" w:name="trends-in-real-prices-20152022"/>
    <w:p>
      <w:pPr>
        <w:pStyle w:val="Heading1"/>
      </w:pPr>
      <w:r>
        <w:t xml:space="preserve">3. Trends in real prices, 2015–2022</w:t>
      </w:r>
    </w:p>
    <w:p>
      <w:pPr>
        <w:pStyle w:val="FirstParagraph"/>
      </w:pPr>
      <w:r>
        <w:t xml:space="preserve">Nominal prices were converted to constant 2022 dollars with the CPI-U (series CUUR0000SA0, annual average):</w:t>
      </w:r>
      <w:r>
        <w:t xml:space="preserve"> </w:t>
      </w:r>
      <m:oMath>
        <m:sSub>
          <m:e>
            <m:r>
              <m:rPr>
                <m:nor/>
                <m:sty m:val="p"/>
              </m:rPr>
              <m:t>real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rPr>
                <m:nor/>
                <m:sty m:val="p"/>
              </m:rPr>
              <m:t>nominal</m:t>
            </m:r>
          </m:e>
          <m:sub>
            <m:r>
              <m:t>t</m:t>
            </m:r>
          </m:sub>
        </m:sSub>
        <m:r>
          <m:t>×</m:t>
        </m:r>
        <m:sSub>
          <m:e>
            <m:r>
              <m:rPr>
                <m:nor/>
                <m:sty m:val="p"/>
              </m:rPr>
              <m:t>CPI</m:t>
            </m:r>
          </m:e>
          <m:sub>
            <m:r>
              <m:t>2022</m:t>
            </m:r>
          </m:sub>
        </m:sSub>
        <m:r>
          <m:t>/</m:t>
        </m:r>
        <m:sSub>
          <m:e>
            <m:r>
              <m:rPr>
                <m:nor/>
                <m:sty m:val="p"/>
              </m:rPr>
              <m:t>CPI</m:t>
            </m:r>
          </m:e>
          <m:sub>
            <m:r>
              <m:t>t</m:t>
            </m:r>
          </m:sub>
        </m:sSub>
      </m:oMath>
      <w:r>
        <w:t xml:space="preserve">. CPI values (verified against the</w:t>
      </w:r>
      <w:r>
        <w:t xml:space="preserve"> </w:t>
      </w:r>
      <w:r>
        <w:t xml:space="preserve">BLS Public Data API as the mean of the 12 monthly values): 2015 237.017 · 2016 240.007 · 2017 245.120 ·</w:t>
      </w:r>
      <w:r>
        <w:t xml:space="preserve"> </w:t>
      </w:r>
      <w:r>
        <w:t xml:space="preserve">2018 251.107 · 2019 255.657 · 2020 258.811 · 2021 270.970 · 2022 292.655.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s4_output/fig_trends_re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Note on Q2 in real terms:</w:t>
      </w:r>
      <w:r>
        <w:t xml:space="preserve"> </w:t>
      </w:r>
      <w:r>
        <w:t xml:space="preserve">Q2’s 2022 results are unchanged by the CPI-U adjustment, because 2022 is the base</w:t>
      </w:r>
      <w:r>
        <w:t xml:space="preserve"> </w:t>
      </w:r>
      <w:r>
        <w:t xml:space="preserve">year.</w:t>
      </w:r>
      <w:r>
        <w:rPr>
          <w:rStyle w:val="FootnoteReference"/>
        </w:rPr>
        <w:footnoteReference w:id="26"/>
      </w:r>
    </w:p>
    <w:tbl>
      <w:tblPr>
        <w:tblStyle w:val="Table"/>
        <w:tblW w:type="pct" w:w="4999.999999999998"/>
        <w:tblLook w:firstRow="1" w:lastRow="0" w:firstColumn="0" w:lastColumn="0" w:noHBand="0" w:noVBand="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 real price, 2022 $/week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Infant (0–23 mo), all counties</w:t>
            </w:r>
          </w:p>
        </w:tc>
        <w:tc>
          <w:p>
            <w:pPr>
              <w:pStyle w:val="Compact"/>
              <w:jc w:val="left"/>
            </w:pPr>
            <w:r>
              <w:t xml:space="preserve">214.2</w:t>
            </w:r>
          </w:p>
        </w:tc>
        <w:tc>
          <w:p>
            <w:pPr>
              <w:pStyle w:val="Compact"/>
              <w:jc w:val="left"/>
            </w:pPr>
            <w:r>
              <w:t xml:space="preserve">212.4</w:t>
            </w:r>
          </w:p>
        </w:tc>
        <w:tc>
          <w:p>
            <w:pPr>
              <w:pStyle w:val="Compact"/>
              <w:jc w:val="left"/>
            </w:pPr>
            <w:r>
              <w:t xml:space="preserve">218.3</w:t>
            </w:r>
          </w:p>
        </w:tc>
        <w:tc>
          <w:p>
            <w:pPr>
              <w:pStyle w:val="Compact"/>
              <w:jc w:val="left"/>
            </w:pPr>
            <w:r>
              <w:t xml:space="preserve">217.9</w:t>
            </w:r>
          </w:p>
        </w:tc>
        <w:tc>
          <w:p>
            <w:pPr>
              <w:pStyle w:val="Compact"/>
              <w:jc w:val="left"/>
            </w:pPr>
            <w:r>
              <w:t xml:space="preserve">219.8</w:t>
            </w:r>
          </w:p>
        </w:tc>
        <w:tc>
          <w:p>
            <w:pPr>
              <w:pStyle w:val="Compact"/>
              <w:jc w:val="left"/>
            </w:pPr>
            <w:r>
              <w:t xml:space="preserve">223.4</w:t>
            </w:r>
          </w:p>
        </w:tc>
        <w:tc>
          <w:p>
            <w:pPr>
              <w:pStyle w:val="Compact"/>
              <w:jc w:val="left"/>
            </w:pPr>
            <w:r>
              <w:t xml:space="preserve">204.1</w:t>
            </w:r>
          </w:p>
        </w:tc>
        <w:tc>
          <w:p>
            <w:pPr>
              <w:pStyle w:val="Compact"/>
              <w:jc w:val="left"/>
            </w:pPr>
            <w:r>
              <w:t xml:space="preserve">215.0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Toddler (24–35 mo), all counties</w:t>
            </w:r>
          </w:p>
        </w:tc>
        <w:tc>
          <w:p>
            <w:pPr>
              <w:pStyle w:val="Compact"/>
              <w:jc w:val="left"/>
            </w:pPr>
            <w:r>
              <w:t xml:space="preserve">188.6</w:t>
            </w:r>
          </w:p>
        </w:tc>
        <w:tc>
          <w:p>
            <w:pPr>
              <w:pStyle w:val="Compact"/>
              <w:jc w:val="left"/>
            </w:pPr>
            <w:r>
              <w:t xml:space="preserve">187.7</w:t>
            </w:r>
          </w:p>
        </w:tc>
        <w:tc>
          <w:p>
            <w:pPr>
              <w:pStyle w:val="Compact"/>
              <w:jc w:val="left"/>
            </w:pPr>
            <w:r>
              <w:t xml:space="preserve">193.1</w:t>
            </w:r>
          </w:p>
        </w:tc>
        <w:tc>
          <w:p>
            <w:pPr>
              <w:pStyle w:val="Compact"/>
              <w:jc w:val="left"/>
            </w:pPr>
            <w:r>
              <w:t xml:space="preserve">192.1</w:t>
            </w:r>
          </w:p>
        </w:tc>
        <w:tc>
          <w:p>
            <w:pPr>
              <w:pStyle w:val="Compact"/>
              <w:jc w:val="left"/>
            </w:pPr>
            <w:r>
              <w:t xml:space="preserve">193.0</w:t>
            </w:r>
          </w:p>
        </w:tc>
        <w:tc>
          <w:p>
            <w:pPr>
              <w:pStyle w:val="Compact"/>
              <w:jc w:val="left"/>
            </w:pPr>
            <w:r>
              <w:t xml:space="preserve">195.6</w:t>
            </w:r>
          </w:p>
        </w:tc>
        <w:tc>
          <w:p>
            <w:pPr>
              <w:pStyle w:val="Compact"/>
              <w:jc w:val="left"/>
            </w:pPr>
            <w:r>
              <w:t xml:space="preserve">183.6</w:t>
            </w:r>
          </w:p>
        </w:tc>
        <w:tc>
          <w:p>
            <w:pPr>
              <w:pStyle w:val="Compact"/>
              <w:jc w:val="left"/>
            </w:pPr>
            <w:r>
              <w:t xml:space="preserve">186.5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Preschool (36–54 mo), all counties</w:t>
            </w:r>
          </w:p>
        </w:tc>
        <w:tc>
          <w:p>
            <w:pPr>
              <w:pStyle w:val="Compact"/>
              <w:jc w:val="left"/>
            </w:pPr>
            <w:r>
              <w:t xml:space="preserve">176.0</w:t>
            </w:r>
          </w:p>
        </w:tc>
        <w:tc>
          <w:p>
            <w:pPr>
              <w:pStyle w:val="Compact"/>
              <w:jc w:val="left"/>
            </w:pPr>
            <w:r>
              <w:t xml:space="preserve">174.6</w:t>
            </w:r>
          </w:p>
        </w:tc>
        <w:tc>
          <w:p>
            <w:pPr>
              <w:pStyle w:val="Compact"/>
              <w:jc w:val="left"/>
            </w:pPr>
            <w:r>
              <w:t xml:space="preserve">179.5</w:t>
            </w:r>
          </w:p>
        </w:tc>
        <w:tc>
          <w:p>
            <w:pPr>
              <w:pStyle w:val="Compact"/>
              <w:jc w:val="left"/>
            </w:pPr>
            <w:r>
              <w:t xml:space="preserve">179.1</w:t>
            </w:r>
          </w:p>
        </w:tc>
        <w:tc>
          <w:p>
            <w:pPr>
              <w:pStyle w:val="Compact"/>
              <w:jc w:val="left"/>
            </w:pPr>
            <w:r>
              <w:t xml:space="preserve">180.5</w:t>
            </w:r>
          </w:p>
        </w:tc>
        <w:tc>
          <w:p>
            <w:pPr>
              <w:pStyle w:val="Compact"/>
              <w:jc w:val="left"/>
            </w:pPr>
            <w:r>
              <w:t xml:space="preserve">183.3</w:t>
            </w:r>
          </w:p>
        </w:tc>
        <w:tc>
          <w:p>
            <w:pPr>
              <w:pStyle w:val="Compact"/>
              <w:jc w:val="left"/>
            </w:pPr>
            <w:r>
              <w:t xml:space="preserve">172.8</w:t>
            </w:r>
          </w:p>
        </w:tc>
        <w:tc>
          <w:p>
            <w:pPr>
              <w:pStyle w:val="Compact"/>
              <w:jc w:val="left"/>
            </w:pPr>
            <w:r>
              <w:t xml:space="preserve">175.1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Infant (0–23 mo), balanced panel</w:t>
            </w:r>
          </w:p>
        </w:tc>
        <w:tc>
          <w:p>
            <w:pPr>
              <w:pStyle w:val="Compact"/>
              <w:jc w:val="left"/>
            </w:pPr>
            <w:r>
              <w:t xml:space="preserve">202.3</w:t>
            </w:r>
          </w:p>
        </w:tc>
        <w:tc>
          <w:p>
            <w:pPr>
              <w:pStyle w:val="Compact"/>
              <w:jc w:val="left"/>
            </w:pPr>
            <w:r>
              <w:t xml:space="preserve">203.0</w:t>
            </w:r>
          </w:p>
        </w:tc>
        <w:tc>
          <w:p>
            <w:pPr>
              <w:pStyle w:val="Compact"/>
              <w:jc w:val="left"/>
            </w:pPr>
            <w:r>
              <w:t xml:space="preserve">203.7</w:t>
            </w:r>
          </w:p>
        </w:tc>
        <w:tc>
          <w:p>
            <w:pPr>
              <w:pStyle w:val="Compact"/>
              <w:jc w:val="left"/>
            </w:pPr>
            <w:r>
              <w:t xml:space="preserve">204.5</w:t>
            </w:r>
          </w:p>
        </w:tc>
        <w:tc>
          <w:p>
            <w:pPr>
              <w:pStyle w:val="Compact"/>
              <w:jc w:val="left"/>
            </w:pPr>
            <w:r>
              <w:t xml:space="preserve">207.8</w:t>
            </w:r>
          </w:p>
        </w:tc>
        <w:tc>
          <w:p>
            <w:pPr>
              <w:pStyle w:val="Compact"/>
              <w:jc w:val="left"/>
            </w:pPr>
            <w:r>
              <w:t xml:space="preserve">212.3</w:t>
            </w:r>
          </w:p>
        </w:tc>
        <w:tc>
          <w:p>
            <w:pPr>
              <w:pStyle w:val="Compact"/>
              <w:jc w:val="left"/>
            </w:pPr>
            <w:r>
              <w:t xml:space="preserve">210.4</w:t>
            </w:r>
          </w:p>
        </w:tc>
        <w:tc>
          <w:p>
            <w:pPr>
              <w:pStyle w:val="Compact"/>
              <w:jc w:val="left"/>
            </w:pPr>
            <w:r>
              <w:t xml:space="preserve">200.4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Toddler (24–35 mo), balanced panel</w:t>
            </w:r>
          </w:p>
        </w:tc>
        <w:tc>
          <w:p>
            <w:pPr>
              <w:pStyle w:val="Compact"/>
              <w:jc w:val="left"/>
            </w:pPr>
            <w:r>
              <w:t xml:space="preserve">182.6</w:t>
            </w:r>
          </w:p>
        </w:tc>
        <w:tc>
          <w:p>
            <w:pPr>
              <w:pStyle w:val="Compact"/>
              <w:jc w:val="left"/>
            </w:pPr>
            <w:r>
              <w:t xml:space="preserve">183.7</w:t>
            </w:r>
          </w:p>
        </w:tc>
        <w:tc>
          <w:p>
            <w:pPr>
              <w:pStyle w:val="Compact"/>
              <w:jc w:val="left"/>
            </w:pPr>
            <w:r>
              <w:t xml:space="preserve">184.3</w:t>
            </w:r>
          </w:p>
        </w:tc>
        <w:tc>
          <w:p>
            <w:pPr>
              <w:pStyle w:val="Compact"/>
              <w:jc w:val="left"/>
            </w:pPr>
            <w:r>
              <w:t xml:space="preserve">184.5</w:t>
            </w:r>
          </w:p>
        </w:tc>
        <w:tc>
          <w:p>
            <w:pPr>
              <w:pStyle w:val="Compact"/>
              <w:jc w:val="left"/>
            </w:pPr>
            <w:r>
              <w:t xml:space="preserve">186.6</w:t>
            </w:r>
          </w:p>
        </w:tc>
        <w:tc>
          <w:p>
            <w:pPr>
              <w:pStyle w:val="Compact"/>
              <w:jc w:val="left"/>
            </w:pPr>
            <w:r>
              <w:t xml:space="preserve">189.8</w:t>
            </w:r>
          </w:p>
        </w:tc>
        <w:tc>
          <w:p>
            <w:pPr>
              <w:pStyle w:val="Compact"/>
              <w:jc w:val="left"/>
            </w:pPr>
            <w:r>
              <w:t xml:space="preserve">187.7</w:t>
            </w:r>
          </w:p>
        </w:tc>
        <w:tc>
          <w:p>
            <w:pPr>
              <w:pStyle w:val="Compact"/>
              <w:jc w:val="left"/>
            </w:pPr>
            <w:r>
              <w:t xml:space="preserve">178.9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Preschool (36–54 mo), balanced panel</w:t>
            </w:r>
          </w:p>
        </w:tc>
        <w:tc>
          <w:p>
            <w:pPr>
              <w:pStyle w:val="Compact"/>
              <w:jc w:val="left"/>
            </w:pPr>
            <w:r>
              <w:t xml:space="preserve">168.5</w:t>
            </w:r>
          </w:p>
        </w:tc>
        <w:tc>
          <w:p>
            <w:pPr>
              <w:pStyle w:val="Compact"/>
              <w:jc w:val="left"/>
            </w:pPr>
            <w:r>
              <w:t xml:space="preserve">169.7</w:t>
            </w:r>
          </w:p>
        </w:tc>
        <w:tc>
          <w:p>
            <w:pPr>
              <w:pStyle w:val="Compact"/>
              <w:jc w:val="left"/>
            </w:pPr>
            <w:r>
              <w:t xml:space="preserve">170.3</w:t>
            </w:r>
          </w:p>
        </w:tc>
        <w:tc>
          <w:p>
            <w:pPr>
              <w:pStyle w:val="Compact"/>
              <w:jc w:val="left"/>
            </w:pPr>
            <w:r>
              <w:t xml:space="preserve">171.3</w:t>
            </w:r>
          </w:p>
        </w:tc>
        <w:tc>
          <w:p>
            <w:pPr>
              <w:pStyle w:val="Compact"/>
              <w:jc w:val="left"/>
            </w:pPr>
            <w:r>
              <w:t xml:space="preserve">174.2</w:t>
            </w:r>
          </w:p>
        </w:tc>
        <w:tc>
          <w:p>
            <w:pPr>
              <w:pStyle w:val="Compact"/>
              <w:jc w:val="left"/>
            </w:pPr>
            <w:r>
              <w:t xml:space="preserve">177.9</w:t>
            </w:r>
          </w:p>
        </w:tc>
        <w:tc>
          <w:p>
            <w:pPr>
              <w:pStyle w:val="Compact"/>
              <w:jc w:val="left"/>
            </w:pPr>
            <w:r>
              <w:t xml:space="preserve">177.0</w:t>
            </w:r>
          </w:p>
        </w:tc>
        <w:tc>
          <w:p>
            <w:pPr>
              <w:pStyle w:val="Compact"/>
              <w:jc w:val="left"/>
            </w:pPr>
            <w:r>
              <w:t xml:space="preserve">169.1</w:t>
            </w:r>
          </w:p>
        </w:tc>
      </w:tr>
    </w:tbl>
    <w:p>
      <w:pPr>
        <w:pStyle w:val="BodyText"/>
      </w:pPr>
      <w:r>
        <w:rPr>
          <w:b/>
        </w:rPr>
        <w:t xml:space="preserve">A caution on composition.</w:t>
      </w:r>
      <w:r>
        <w:t xml:space="preserve"> </w:t>
      </w:r>
      <w:r>
        <w:t xml:space="preserve">The set of reporting states changes from year to year. In 2021, California,</w:t>
      </w:r>
      <w:r>
        <w:t xml:space="preserve"> </w:t>
      </w:r>
      <w:r>
        <w:t xml:space="preserve">North Carolina, Pennsylvania and Virginia (all relatively high-price) are missing while Puerto Rico (69 low-price</w:t>
      </w:r>
      <w:r>
        <w:t xml:space="preserve"> </w:t>
      </w:r>
      <w:r>
        <w:t xml:space="preserve">counties) appears only in that year, so the drop in the all-county 2021 mean is mostly a change in</w:t>
      </w:r>
      <w:r>
        <w:t xml:space="preserve"> </w:t>
      </w:r>
      <w:r>
        <w:rPr>
          <w:i/>
        </w:rPr>
        <w:t xml:space="preserve">which</w:t>
      </w:r>
      <w:r>
        <w:t xml:space="preserve"> </w:t>
      </w:r>
      <w:r>
        <w:t xml:space="preserve">counties are measured. We therefore also track a</w:t>
      </w:r>
      <w:r>
        <w:t xml:space="preserve"> </w:t>
      </w:r>
      <w:r>
        <w:rPr>
          <w:b/>
        </w:rPr>
        <w:t xml:space="preserve">balanced panel of 740 metro counties</w:t>
      </w:r>
      <w:r>
        <w:t xml:space="preserve"> </w:t>
      </w:r>
      <w:r>
        <w:t xml:space="preserve">that report all three</w:t>
      </w:r>
      <w:r>
        <w:t xml:space="preserve"> </w:t>
      </w:r>
      <w:r>
        <w:t xml:space="preserve">prices in every year (dashed lines), which isolates price changes within the same markets.</w:t>
      </w:r>
    </w:p>
    <w:p>
      <w:pPr>
        <w:pStyle w:val="BodyText"/>
      </w:pPr>
      <w:r>
        <w:rPr>
          <w:b/>
        </w:rPr>
        <w:t xml:space="preserve">Change in real prices over each period (%).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= all metro counties (solid lines);</w:t>
      </w:r>
      <w:r>
        <w:t xml:space="preserve"> </w:t>
      </w:r>
      <w:r>
        <w:t xml:space="preserve">“</w:t>
      </w:r>
      <w:r>
        <w:t xml:space="preserve">Bal.</w:t>
      </w:r>
      <w:r>
        <w:t xml:space="preserve">”</w:t>
      </w:r>
      <w:r>
        <w:t xml:space="preserve"> </w:t>
      </w:r>
      <w:r>
        <w:t xml:space="preserve">= balanced panel of 740 counties (dashed lines).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Infant (0–23 mo): 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Toddler (24–35 mo): 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Preschool (36–54 mo): 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CPI-U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2015→2020</w:t>
            </w:r>
          </w:p>
        </w:tc>
        <w:tc>
          <w:p>
            <w:pPr>
              <w:pStyle w:val="Compact"/>
              <w:jc w:val="left"/>
            </w:pPr>
            <w:r>
              <w:t xml:space="preserve">+4.3</w:t>
            </w:r>
          </w:p>
        </w:tc>
        <w:tc>
          <w:p>
            <w:pPr>
              <w:pStyle w:val="Compact"/>
              <w:jc w:val="left"/>
            </w:pPr>
            <w:r>
              <w:t xml:space="preserve">+4.9</w:t>
            </w:r>
          </w:p>
        </w:tc>
        <w:tc>
          <w:p>
            <w:pPr>
              <w:pStyle w:val="Compact"/>
              <w:jc w:val="left"/>
            </w:pPr>
            <w:r>
              <w:t xml:space="preserve">+3.7</w:t>
            </w:r>
          </w:p>
        </w:tc>
        <w:tc>
          <w:p>
            <w:pPr>
              <w:pStyle w:val="Compact"/>
              <w:jc w:val="left"/>
            </w:pPr>
            <w:r>
              <w:t xml:space="preserve">+3.9</w:t>
            </w:r>
          </w:p>
        </w:tc>
        <w:tc>
          <w:p>
            <w:pPr>
              <w:pStyle w:val="Compact"/>
              <w:jc w:val="left"/>
            </w:pPr>
            <w:r>
              <w:t xml:space="preserve">+4.1</w:t>
            </w:r>
          </w:p>
        </w:tc>
        <w:tc>
          <w:p>
            <w:pPr>
              <w:pStyle w:val="Compact"/>
              <w:jc w:val="left"/>
            </w:pPr>
            <w:r>
              <w:t xml:space="preserve">+5.5</w:t>
            </w:r>
          </w:p>
        </w:tc>
        <w:tc>
          <w:p>
            <w:pPr>
              <w:pStyle w:val="Compact"/>
              <w:jc w:val="left"/>
            </w:pPr>
            <w:r>
              <w:t xml:space="preserve">+9.2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2020→2021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−8.6</w:t>
            </w:r>
          </w:p>
        </w:tc>
        <w:tc>
          <w:p>
            <w:pPr>
              <w:pStyle w:val="Compact"/>
              <w:jc w:val="left"/>
            </w:pPr>
            <w:r>
              <w:t xml:space="preserve">−0.9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−6.1</w:t>
            </w:r>
          </w:p>
        </w:tc>
        <w:tc>
          <w:p>
            <w:pPr>
              <w:pStyle w:val="Compact"/>
              <w:jc w:val="left"/>
            </w:pPr>
            <w:r>
              <w:t xml:space="preserve">−1.1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−5.7</w:t>
            </w:r>
          </w:p>
        </w:tc>
        <w:tc>
          <w:p>
            <w:pPr>
              <w:pStyle w:val="Compact"/>
              <w:jc w:val="left"/>
            </w:pPr>
            <w:r>
              <w:t xml:space="preserve">−0.5</w:t>
            </w:r>
          </w:p>
        </w:tc>
        <w:tc>
          <w:p>
            <w:pPr>
              <w:pStyle w:val="Compact"/>
              <w:jc w:val="left"/>
            </w:pPr>
            <w:r>
              <w:t xml:space="preserve">+4.7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2021→2022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+5.3</w:t>
            </w:r>
          </w:p>
        </w:tc>
        <w:tc>
          <w:p>
            <w:pPr>
              <w:pStyle w:val="Compact"/>
              <w:jc w:val="left"/>
            </w:pPr>
            <w:r>
              <w:t xml:space="preserve">−4.7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+1.5</w:t>
            </w:r>
          </w:p>
        </w:tc>
        <w:tc>
          <w:p>
            <w:pPr>
              <w:pStyle w:val="Compact"/>
              <w:jc w:val="left"/>
            </w:pPr>
            <w:r>
              <w:t xml:space="preserve">−4.7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+1.3</w:t>
            </w:r>
          </w:p>
        </w:tc>
        <w:tc>
          <w:p>
            <w:pPr>
              <w:pStyle w:val="Compact"/>
              <w:jc w:val="left"/>
            </w:pPr>
            <w:r>
              <w:t xml:space="preserve">−4.5</w:t>
            </w:r>
          </w:p>
        </w:tc>
        <w:tc>
          <w:p>
            <w:pPr>
              <w:pStyle w:val="Compact"/>
              <w:jc w:val="left"/>
            </w:pPr>
            <w:r>
              <w:t xml:space="preserve">+8.0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2015→2022</w:t>
            </w:r>
          </w:p>
        </w:tc>
        <w:tc>
          <w:p>
            <w:pPr>
              <w:pStyle w:val="Compact"/>
              <w:jc w:val="left"/>
            </w:pPr>
            <w:r>
              <w:t xml:space="preserve">+0.4</w:t>
            </w:r>
          </w:p>
        </w:tc>
        <w:tc>
          <w:p>
            <w:pPr>
              <w:pStyle w:val="Compact"/>
              <w:jc w:val="left"/>
            </w:pPr>
            <w:r>
              <w:t xml:space="preserve">−0.9</w:t>
            </w:r>
          </w:p>
        </w:tc>
        <w:tc>
          <w:p>
            <w:pPr>
              <w:pStyle w:val="Compact"/>
              <w:jc w:val="left"/>
            </w:pPr>
            <w:r>
              <w:t xml:space="preserve">−1.2</w:t>
            </w:r>
          </w:p>
        </w:tc>
        <w:tc>
          <w:p>
            <w:pPr>
              <w:pStyle w:val="Compact"/>
              <w:jc w:val="left"/>
            </w:pPr>
            <w:r>
              <w:t xml:space="preserve">−2.0</w:t>
            </w:r>
          </w:p>
        </w:tc>
        <w:tc>
          <w:p>
            <w:pPr>
              <w:pStyle w:val="Compact"/>
              <w:jc w:val="left"/>
            </w:pPr>
            <w:r>
              <w:t xml:space="preserve">−0.5</w:t>
            </w:r>
          </w:p>
        </w:tc>
        <w:tc>
          <w:p>
            <w:pPr>
              <w:pStyle w:val="Compact"/>
              <w:jc w:val="left"/>
            </w:pPr>
            <w:r>
              <w:t xml:space="preserve">+0.4</w:t>
            </w:r>
          </w:p>
        </w:tc>
        <w:tc>
          <w:p>
            <w:pPr>
              <w:pStyle w:val="Compact"/>
              <w:jc w:val="left"/>
            </w:pPr>
            <w:r>
              <w:t xml:space="preserve">+23.5</w:t>
            </w:r>
          </w:p>
        </w:tc>
      </w:tr>
    </w:tbl>
    <w:p>
      <w:pPr>
        <w:pStyle w:val="BodyText"/>
      </w:pPr>
      <w:r>
        <w:rPr>
          <w:b/>
        </w:rPr>
        <w:t xml:space="preserve">Discussion.</w:t>
      </w:r>
      <w:r>
        <w:t xml:space="preserve"> </w:t>
      </w:r>
      <w:r>
        <w:t xml:space="preserve">Childcare prices went through three phases.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2015–2020: modest real growth.</w:t>
      </w:r>
      <w:r>
        <w:t xml:space="preserve"> </w:t>
      </w:r>
      <w:r>
        <w:t xml:space="preserve">Real prices rose about 4–5% in total (balanced panel: infant +4.9%,</w:t>
      </w:r>
      <w:r>
        <w:t xml:space="preserve"> </w:t>
      </w:r>
      <w:r>
        <w:t xml:space="preserve">toddler +3.9%, preschool +5.5%). In nominal terms, prices rose about 1.5–3.5% a year, slightly faster than</w:t>
      </w:r>
      <w:r>
        <w:t xml:space="preserve"> </w:t>
      </w:r>
      <w:r>
        <w:t xml:space="preserve">inflation.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2021: the COVID-era dip in the solid lines is mostly a change in which states are measured.</w:t>
      </w:r>
      <w:r>
        <w:t xml:space="preserve"> </w:t>
      </w:r>
      <w:r>
        <w:t xml:space="preserve">Across all</w:t>
      </w:r>
      <w:r>
        <w:t xml:space="preserve"> </w:t>
      </w:r>
      <w:r>
        <w:t xml:space="preserve">counties, real prices fell 8.6% (infant), 6.1% (toddler) and 5.7% (preschool). But the 2021 sample lacks</w:t>
      </w:r>
      <w:r>
        <w:t xml:space="preserve"> </w:t>
      </w:r>
      <w:r>
        <w:t xml:space="preserve">California, North Carolina, Pennsylvania and Virginia (high-price states) and adds 69 low-price Puerto Rico</w:t>
      </w:r>
      <w:r>
        <w:t xml:space="preserve"> </w:t>
      </w:r>
      <w:r>
        <w:t xml:space="preserve">counties. Within the same 740 counties, real prices dipped only 0.9%, 1.1% and 0.5%, and</w:t>
      </w:r>
      <w:r>
        <w:t xml:space="preserve"> </w:t>
      </w:r>
      <w:r>
        <w:rPr>
          <w:b/>
        </w:rPr>
        <w:t xml:space="preserve">nominal prices kept</w:t>
      </w:r>
      <w:r>
        <w:rPr>
          <w:b/>
        </w:rPr>
        <w:t xml:space="preserve"> </w:t>
      </w:r>
      <w:r>
        <w:rPr>
          <w:b/>
        </w:rPr>
        <w:t xml:space="preserve">rising</w:t>
      </w:r>
      <w:r>
        <w:t xml:space="preserve"> </w:t>
      </w:r>
      <w:r>
        <w:t xml:space="preserve">(+3.8%, +3.5%, +4.2%). The data show no COVID price cut. The small real dip is inflation (+4.7%)</w:t>
      </w:r>
      <w:r>
        <w:t xml:space="preserve"> </w:t>
      </w:r>
      <w:r>
        <w:t xml:space="preserve">slightly outpacing price increases.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2022: the solid-line rebound is also composition; within the same counties real prices fell.</w:t>
      </w:r>
      <w:r>
        <w:t xml:space="preserve"> </w:t>
      </w:r>
      <w:r>
        <w:t xml:space="preserve">The</w:t>
      </w:r>
      <w:r>
        <w:t xml:space="preserve"> </w:t>
      </w:r>
      <w:r>
        <w:t xml:space="preserve">all-county means rebound (+5.3%, +1.5%, +1.3%) because CA, NC and VA return to the data. In the balanced panel,</w:t>
      </w:r>
      <w:r>
        <w:t xml:space="preserve"> </w:t>
      </w:r>
      <w:r>
        <w:t xml:space="preserve">nominal prices rose about 3% again (+2.9%, +2.9%, +3.2%), but 8.0% inflation cut real prices by 4.7%, 4.7% and</w:t>
      </w:r>
      <w:r>
        <w:t xml:space="preserve"> </w:t>
      </w:r>
      <w:r>
        <w:t xml:space="preserve">4.5%, back to roughly their 2015 level.</w:t>
      </w:r>
    </w:p>
    <w:p>
      <w:pPr>
        <w:pStyle w:val="FirstParagraph"/>
      </w:pPr>
      <w:r>
        <w:rPr>
          <w:b/>
        </w:rPr>
        <w:t xml:space="preserve">Interpretation and outlook.</w:t>
      </w:r>
      <w:r>
        <w:t xml:space="preserve"> </w:t>
      </w:r>
      <w:r>
        <w:t xml:space="preserve">Nominal childcare prices look remarkably steady, rising about 3–4% a year from</w:t>
      </w:r>
      <w:r>
        <w:t xml:space="preserve"> </w:t>
      </w:r>
      <w:r>
        <w:t xml:space="preserve">2019 through 2022, before, during and after COVID. That is consistent with our hypothesis that prices are stabilizing after the shock and</w:t>
      </w:r>
      <w:r>
        <w:t xml:space="preserve"> </w:t>
      </w:r>
      <w:r>
        <w:t xml:space="preserve">will keep rising. Because providers did not raise prices as fast as the 2021–22 inflation surge, real prices</w:t>
      </w:r>
      <w:r>
        <w:t xml:space="preserve"> </w:t>
      </w:r>
      <w:r>
        <w:t xml:space="preserve">should recover once inflation falls back below about 3%. This should be checked when post-2022 NDCP data are</w:t>
      </w:r>
      <w:r>
        <w:t xml:space="preserve"> </w:t>
      </w:r>
      <w:r>
        <w:t xml:space="preserve">released. A caveat on timing: NDCP prices come from state market-rate surveys run only every 2–3 years, with</w:t>
      </w:r>
      <w:r>
        <w:t xml:space="preserve"> </w:t>
      </w:r>
      <w:r>
        <w:t xml:space="preserve">NDCP interpolating the years in between, so the recorded series is smoother and later than actual price changes.</w:t>
      </w:r>
      <w:r>
        <w:rPr>
          <w:rStyle w:val="FootnoteReference"/>
        </w:rPr>
        <w:footnoteReference w:id="27"/>
      </w:r>
    </w:p>
    <w:p>
      <w:pPr>
        <w:pStyle w:val="BodyText"/>
      </w:pPr>
      <w:r>
        <w:rPr>
          <w:b/>
        </w:rPr>
        <w:t xml:space="preserve">Infant premium.</w:t>
      </w:r>
      <w:r>
        <w:t xml:space="preserve"> </w:t>
      </w:r>
      <w:r>
        <w:t xml:space="preserve">In the solid lines, the infant premium over preschool appears to widen in 2022 (infant/preschool</w:t>
      </w:r>
      <w:r>
        <w:t xml:space="preserve"> </w:t>
      </w:r>
      <w:r>
        <w:t xml:space="preserve">ratio 1.18 in 2021 → 1.23 in 2022; gap $31 → $40). This is again the change in reporting states. Within the</w:t>
      </w:r>
      <w:r>
        <w:t xml:space="preserve"> </w:t>
      </w:r>
      <w:r>
        <w:t xml:space="preserve">same counties the premium has been stable to slightly</w:t>
      </w:r>
      <w:r>
        <w:t xml:space="preserve"> </w:t>
      </w:r>
      <w:r>
        <w:rPr>
          <w:i/>
        </w:rPr>
        <w:t xml:space="preserve">narrowing</w:t>
      </w:r>
      <w:r>
        <w:t xml:space="preserve"> </w:t>
      </w:r>
      <w:r>
        <w:t xml:space="preserve">(ratio 1.200 in 2015, 1.193 in 2020, 1.185 in</w:t>
      </w:r>
      <w:r>
        <w:t xml:space="preserve"> </w:t>
      </w:r>
      <w:r>
        <w:t xml:space="preserve">2022; gap $33.8 → $31.3). It is based on one year of data, so it is a trend to monitor rather than a finding.</w:t>
      </w:r>
      <w:r>
        <w:t xml:space="preserve"> </w:t>
      </w:r>
      <w:r>
        <w:t xml:space="preserve">The ordering infant &gt; toddler &gt; preschool holds in every year.</w:t>
      </w:r>
    </w:p>
    <w:bookmarkEnd w:id="28"/>
    <w:bookmarkStart w:id="36" w:name="X563b2985a2753e834651985c330096a8b6905e5"/>
    <w:p>
      <w:pPr>
        <w:pStyle w:val="Heading1"/>
      </w:pPr>
      <w:r>
        <w:t xml:space="preserve">4. Is the CCDF voucher equal to the median preschool price in the average metro area?</w:t>
      </w:r>
    </w:p>
    <w:p>
      <w:pPr>
        <w:pStyle w:val="FirstParagraph"/>
      </w:pPr>
      <w:r>
        <w:t xml:space="preserve">The Administration for Children and Families (ACF) asserts that, in the average metro area, the CCDF voucher</w:t>
      </w:r>
      <w:r>
        <w:t xml:space="preserve"> </w:t>
      </w:r>
      <w:r>
        <w:t xml:space="preserve">equals the price of care at the median-priced center-based preschool. The unit of observation is the metro county: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county</w:t>
      </w:r>
      <w:r>
        <w:t xml:space="preserve"> </w:t>
      </w:r>
      <m:oMath>
        <m:r>
          <m:t>i</m:t>
        </m:r>
      </m:oMath>
      <w:r>
        <w:t xml:space="preserve">’s median weekly center-based preschool (36–54 months) price (</w:t>
      </w:r>
      <w:r>
        <w:rPr>
          <w:rStyle w:val="VerbatimChar"/>
        </w:rPr>
        <w:t xml:space="preserve">MCPRESCHOOL</w:t>
      </w:r>
      <w:r>
        <w:t xml:space="preserve">), 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mean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across metro counties (the</w:t>
      </w:r>
      <w:r>
        <w:t xml:space="preserve"> </w:t>
      </w:r>
      <w:r>
        <w:t xml:space="preserve">“</w:t>
      </w:r>
      <w:r>
        <w:t xml:space="preserve">average metro area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Putting the voucher in weekly terms.</w:t>
      </w:r>
      <w:r>
        <w:t xml:space="preserve"> </w:t>
      </w:r>
      <w:r>
        <w:t xml:space="preserve">NDCP prices are weekly and the voucher is monthly, so we convert with</w:t>
      </w:r>
      <w:r>
        <w:t xml:space="preserve"> </w:t>
      </w:r>
      <w:r>
        <w:t xml:space="preserve">4.33 weeks per month: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μ</m:t>
              </m:r>
            </m:e>
            <m:sub>
              <m:r>
                <m:t>0</m:t>
              </m:r>
            </m:sub>
            <m:sup>
              <m:r>
                <m:t>2022</m:t>
              </m:r>
            </m:sup>
          </m:sSubSup>
          <m:r>
            <m:t>=</m:t>
          </m:r>
          <m:f>
            <m:fPr>
              <m:type m:val="bar"/>
            </m:fPr>
            <m:num>
              <m:r>
                <m:t>$</m:t>
              </m:r>
              <m:r>
                <m:t>706</m:t>
              </m:r>
            </m:num>
            <m:den>
              <m:r>
                <m:t>4.33</m:t>
              </m:r>
            </m:den>
          </m:f>
          <m:r>
            <m:t>=</m:t>
          </m:r>
          <m:r>
            <m:t>$</m:t>
          </m:r>
          <m:r>
            <m:t>163.05</m:t>
          </m:r>
          <m:r>
            <m:rPr>
              <m:nor/>
              <m:sty m:val="p"/>
            </m:rPr>
            <m:t> per week</m:t>
          </m:r>
          <m:r>
            <m:t>,</m:t>
          </m:r>
          <m:r>
            <m:t>  </m:t>
          </m:r>
          <m:sSubSup>
            <m:e>
              <m:r>
                <m:t>μ</m:t>
              </m:r>
            </m:e>
            <m:sub>
              <m:r>
                <m:t>0</m:t>
              </m:r>
            </m:sub>
            <m:sup>
              <m:r>
                <m:t>2015</m:t>
              </m:r>
            </m:sup>
          </m:sSubSup>
          <m:r>
            <m:t>=</m:t>
          </m:r>
          <m:f>
            <m:fPr>
              <m:type m:val="bar"/>
            </m:fPr>
            <m:num>
              <m:r>
                <m:t>$</m:t>
              </m:r>
              <m:r>
                <m:t>473</m:t>
              </m:r>
            </m:num>
            <m:den>
              <m:r>
                <m:t>4.33</m:t>
              </m:r>
            </m:den>
          </m:f>
          <m:r>
            <m:t>=</m:t>
          </m:r>
          <m:r>
            <m:t>$</m:t>
          </m:r>
          <m:r>
            <m:t>109.24</m:t>
          </m:r>
          <m:r>
            <m:rPr>
              <m:nor/>
              <m:sty m:val="p"/>
            </m:rPr>
            <m:t> per week</m:t>
          </m:r>
          <m:r>
            <m:t>.</m:t>
          </m:r>
        </m:oMath>
      </m:oMathPara>
    </w:p>
    <w:p>
      <w:pPr>
        <w:pStyle w:val="FirstParagraph"/>
      </w:pPr>
      <w:r>
        <w:t xml:space="preserve">Equivalently, one can multiply every weekly price by 4.33 and test against $706 per month. Since this rescales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the same factor, the test statistic is identical (shown below).</w:t>
      </w:r>
    </w:p>
    <w:bookmarkStart w:id="29" w:name="a-hypotheses"/>
    <w:p>
      <w:pPr>
        <w:pStyle w:val="Heading2"/>
      </w:pPr>
      <w:r>
        <w:t xml:space="preserve">(a) Hypotheses</w:t>
      </w:r>
    </w:p>
    <w:p>
      <w:pPr>
        <w:pStyle w:val="FirstParagraph"/>
      </w:pPr>
      <w:r>
        <w:t xml:space="preserve">The ACF claim is about a specific difference: the gap between</w:t>
      </w:r>
      <w:r>
        <w:t xml:space="preserve"> </w:t>
      </w:r>
      <w:r>
        <w:rPr>
          <w:b/>
        </w:rPr>
        <w:t xml:space="preserve">what the voucher pays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what care costs</w:t>
      </w:r>
      <w:r>
        <w:t xml:space="preserve">.</w:t>
      </w:r>
      <w:r>
        <w:t xml:space="preserve"> </w:t>
      </w:r>
      <w:r>
        <w:t xml:space="preserve">Specifically, it is the difference between the 2022 CCDF monthly voucher for center-based preschool ($706, or</w:t>
      </w:r>
      <w:r>
        <w:t xml:space="preserve"> </w:t>
      </w:r>
      <w:r>
        <w:t xml:space="preserve">$163.05 per week) and the price charged by the median-priced center-based preschool, averaged across metro areas.</w:t>
      </w:r>
      <w:r>
        <w:t xml:space="preserve"> </w:t>
      </w:r>
      <w:r>
        <w:t xml:space="preserve">ACF asserts this difference is zero. In our data each county’s</w:t>
      </w:r>
      <w:r>
        <w:t xml:space="preserve"> </w:t>
      </w:r>
      <w:r>
        <w:rPr>
          <w:rStyle w:val="VerbatimChar"/>
        </w:rPr>
        <w:t xml:space="preserve">MCPRESCHOOL</w:t>
      </w:r>
      <w:r>
        <w:t xml:space="preserve"> </w:t>
      </w:r>
      <w:r>
        <w:t xml:space="preserve">is already the median-priced</w:t>
      </w:r>
      <w:r>
        <w:t xml:space="preserve"> </w:t>
      </w:r>
      <w:r>
        <w:t xml:space="preserve">center’s weekly price in that county, so the claim concerns</w:t>
      </w:r>
      <w:r>
        <w:t xml:space="preserve"> </w:t>
      </w:r>
      <m:oMath>
        <m:r>
          <m:t>μ</m:t>
        </m:r>
      </m:oMath>
      <w:r>
        <w:t xml:space="preserve">, the mean of these county medians across metro</w:t>
      </w:r>
      <w:r>
        <w:t xml:space="preserve"> </w:t>
      </w:r>
      <w:r>
        <w:t xml:space="preserve">counties: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t>:</m:t>
          </m:r>
          <m:r>
            <m:t> </m:t>
          </m:r>
          <m:r>
            <m:t>μ</m:t>
          </m:r>
          <m: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=</m:t>
          </m:r>
          <m:r>
            <m:t>$</m:t>
          </m:r>
          <m:r>
            <m:t>163.05</m:t>
          </m:r>
          <m:r>
            <m:t>  </m:t>
          </m:r>
          <m:r>
            <m:rPr>
              <m:nor/>
              <m:sty m:val="p"/>
            </m:rPr>
            <m:t>(the voucher exactly covers median-center preschool in the average metro area)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t>:</m:t>
          </m:r>
          <m:r>
            <m:t> </m:t>
          </m:r>
          <m:r>
            <m:t>μ</m:t>
          </m:r>
          <m:r>
            <m:t>≠</m:t>
          </m:r>
          <m:r>
            <m:t>$</m:t>
          </m:r>
          <m:r>
            <m:t>163.05</m:t>
          </m:r>
          <m:r>
            <m:t>  </m:t>
          </m:r>
          <m:r>
            <m:rPr>
              <m:nor/>
              <m:sty m:val="p"/>
            </m:rPr>
            <m:t>(the voucher and the median-center price differ in the average metro area)</m:t>
          </m:r>
        </m:oMath>
      </m:oMathPara>
    </w:p>
    <w:p>
      <w:pPr>
        <w:pStyle w:val="FirstParagraph"/>
      </w:pPr>
      <w:r>
        <w:t xml:space="preserve">We test at significance level</w:t>
      </w:r>
      <w:r>
        <w:t xml:space="preserve"> </w:t>
      </w:r>
      <m:oMath>
        <m:r>
          <m:t>α</m:t>
        </m:r>
        <m:r>
          <m:t>=</m:t>
        </m:r>
        <m:r>
          <m:t>0.05</m:t>
        </m:r>
      </m:oMath>
      <w:r>
        <w:t xml:space="preserve">. The alternative is</w:t>
      </w:r>
      <w:r>
        <w:t xml:space="preserve"> </w:t>
      </w:r>
      <w:r>
        <w:rPr>
          <w:b/>
        </w:rPr>
        <w:t xml:space="preserve">two-sided</w:t>
      </w:r>
      <w:r>
        <w:t xml:space="preserve"> </w:t>
      </w:r>
      <w:r>
        <w:t xml:space="preserve">because a difference in either</w:t>
      </w:r>
      <w:r>
        <w:t xml:space="preserve"> </w:t>
      </w:r>
      <w:r>
        <w:t xml:space="preserve">direction contradicts the claim.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t>&gt;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 the voucher falls short and a family using it must pay the difference out of pocket at a</w:t>
      </w:r>
      <w:r>
        <w:t xml:space="preserve"> </w:t>
      </w:r>
      <w:r>
        <w:t xml:space="preserve">median-priced center. If</w:t>
      </w:r>
      <w:r>
        <w:t xml:space="preserve"> </w:t>
      </w:r>
      <m:oMath>
        <m:r>
          <m:t>μ</m:t>
        </m:r>
        <m:r>
          <m:t>&lt;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 the voucher exceeds the typical market price. The same hypotheses apply to</w:t>
      </w:r>
      <w:r>
        <w:t xml:space="preserve"> </w:t>
      </w:r>
      <w:r>
        <w:t xml:space="preserve">2015, with</w:t>
      </w:r>
      <w:r>
        <w:t xml:space="preserve"> </w:t>
      </w:r>
      <m:oMath>
        <m:sSubSup>
          <m:e>
            <m:r>
              <m:t>μ</m:t>
            </m:r>
          </m:e>
          <m:sub>
            <m:r>
              <m:t>0</m:t>
            </m:r>
          </m:sub>
          <m:sup>
            <m:r>
              <m:t>2015</m:t>
            </m:r>
          </m:sup>
        </m:sSubSup>
        <m:r>
          <m:t>=</m:t>
        </m:r>
        <m:r>
          <m:t>$</m:t>
        </m:r>
        <m:r>
          <m:t>473</m:t>
        </m:r>
        <m:r>
          <m:t>/</m:t>
        </m:r>
        <m:r>
          <m:t>4.33</m:t>
        </m:r>
        <m:r>
          <m:t>=</m:t>
        </m:r>
        <m:r>
          <m:t>$</m:t>
        </m:r>
        <m:r>
          <m:t>109.24</m:t>
        </m:r>
      </m:oMath>
      <w:r>
        <w:t xml:space="preserve"> </w:t>
      </w:r>
      <w:r>
        <w:t xml:space="preserve">per week.</w:t>
      </w:r>
    </w:p>
    <w:bookmarkEnd w:id="29"/>
    <w:bookmarkStart w:id="30" w:name="b-test-statistic-one-sample-t"/>
    <w:p>
      <w:pPr>
        <w:pStyle w:val="Heading2"/>
      </w:pPr>
      <w:r>
        <w:t xml:space="preserve">(b) Test statistic: one-sample</w:t>
      </w:r>
      <w:r>
        <w:t xml:space="preserve"> </w:t>
      </w:r>
      <w:r>
        <w:rPr>
          <w:i/>
        </w:rPr>
        <w:t xml:space="preserve">t</w:t>
      </w:r>
    </w:p>
    <w:p>
      <w:pPr>
        <w:pStyle w:val="FirstParagraph"/>
      </w:pPr>
      <w:r>
        <w:t xml:space="preserve">The one-sample</w:t>
      </w:r>
      <w:r>
        <w:t xml:space="preserve"> </w:t>
      </w:r>
      <w:r>
        <w:rPr>
          <w:i/>
        </w:rPr>
        <w:t xml:space="preserve">t</w:t>
      </w:r>
      <w:r>
        <w:t xml:space="preserve">-statistic tests whether the underlying mean price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equals the hypothesized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using the sample average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across metro counties as evidence. We treat the counties as a sample,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uses the divisor</w:t>
      </w:r>
      <w:r>
        <w:t xml:space="preserve"> </w:t>
      </w:r>
      <m:oMath>
        <m:r>
          <m:t>n</m:t>
        </m:r>
        <m:r>
          <m:t>−</m:t>
        </m:r>
        <m:r>
          <m:t>1</m:t>
        </m:r>
      </m:oMath>
      <w:r>
        <w:t xml:space="preserve"> </w:t>
      </w:r>
      <w:r>
        <w:t xml:space="preserve">(see Methods):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t>E</m:t>
              </m:r>
              <m: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t>/</m:t>
              </m:r>
              <m:rad>
                <m:radPr>
                  <m:degHide m:val="1"/>
                </m:radPr>
                <m:deg/>
                <m:e>
                  <m:r>
                    <m:t>n</m:t>
                  </m:r>
                </m:e>
              </m:rad>
            </m:den>
          </m:f>
          <m:r>
            <m:t>,</m:t>
          </m:r>
          <m:r>
            <m:t>  </m:t>
          </m:r>
          <m:r>
            <m:t>t</m:t>
          </m:r>
          <m:r>
            <m:t>∼</m:t>
          </m:r>
          <m:sSub>
            <m:e>
              <m:r>
                <m:t>t</m:t>
              </m:r>
            </m:e>
            <m:sub>
              <m:r>
                <m:t> </m:t>
              </m:r>
              <m:r>
                <m:t>n</m:t>
              </m:r>
              <m:r>
                <m:t>−</m:t>
              </m:r>
              <m:r>
                <m:t>1</m:t>
              </m:r>
            </m:sub>
          </m:sSub>
          <m:r>
            <m:rPr>
              <m:nor/>
              <m:sty m:val="p"/>
            </m:rPr>
            <m:t> 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Its elements, each computed separately from the 2022 metro sample: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Sample size</w:t>
      </w:r>
      <w:r>
        <w:t xml:space="preserve"> </w:t>
      </w:r>
      <m:oMath>
        <m:r>
          <m:t>n</m:t>
        </m:r>
      </m:oMath>
      <w:r>
        <w:t xml:space="preserve">: the number of metro counties with a non-missing 2022 center-based preschool price (as in Q2):</w:t>
      </w:r>
      <w:r>
        <w:t xml:space="preserve"> </w:t>
      </w:r>
      <m:oMath>
        <m:r>
          <m:t>n</m:t>
        </m:r>
        <m:r>
          <m:t>=</m:t>
        </m:r>
        <m:r>
          <m:t>1</m:t>
        </m:r>
        <m:r>
          <m:t>,</m:t>
        </m:r>
        <m:r>
          <m:t>013</m:t>
        </m:r>
      </m:oMath>
      <w:r>
        <w:t xml:space="preserve">, so the degrees of freedom are</w:t>
      </w:r>
      <w:r>
        <w:t xml:space="preserve"> </w:t>
      </w:r>
      <m:oMath>
        <m:r>
          <m:t>n</m:t>
        </m:r>
        <m:r>
          <m:t>−</m:t>
        </m:r>
        <m:r>
          <m:t>1</m:t>
        </m:r>
        <m:r>
          <m:t>=</m:t>
        </m:r>
        <m:r>
          <m:t>1</m:t>
        </m:r>
        <m:r>
          <m:t>,</m:t>
        </m:r>
        <m:r>
          <m:t>012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Sample mean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=</m:t>
          </m:r>
          <m:r>
            <m:t>$</m:t>
          </m:r>
          <m:r>
            <m:t>175.0885</m:t>
          </m:r>
          <m:r>
            <m:rPr>
              <m:nor/>
              <m:sty m:val="p"/>
            </m:rPr>
            <m:t> per week</m:t>
          </m:r>
          <m:r>
            <m:t>.</m:t>
          </m:r>
        </m:oMath>
      </m:oMathPara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Sample standard deviation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t>=</m:t>
          </m:r>
          <m:rad>
            <m:radPr>
              <m:degHide m:val="1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t>=</m:t>
          </m:r>
          <m:r>
            <m:t>$</m:t>
          </m:r>
          <m:r>
            <m:t>59.9800</m:t>
          </m:r>
          <m:r>
            <m:rPr>
              <m:nor/>
              <m:sty m:val="p"/>
            </m:rPr>
            <m:t> per week</m:t>
          </m:r>
          <m:r>
            <m:t>.</m:t>
          </m:r>
        </m:oMath>
      </m:oMathPara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Standard error of the mean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t>(</m:t>
          </m:r>
          <m:acc>
            <m:accPr>
              <m:chr m:val="‾"/>
            </m:accPr>
            <m:e>
              <m:r>
                <m:t>X</m:t>
              </m:r>
            </m:e>
          </m:acc>
          <m:r>
            <m:t>)</m:t>
          </m:r>
          <m: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n</m:t>
                  </m:r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59.9800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1013</m:t>
                  </m:r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59.9800</m:t>
              </m:r>
            </m:num>
            <m:den>
              <m:r>
                <m:t>31.8277</m:t>
              </m:r>
            </m:den>
          </m:f>
          <m:r>
            <m:t>=</m:t>
          </m:r>
          <m:r>
            <m:t>1.8845</m:t>
          </m:r>
          <m:r>
            <m:t>.</m:t>
          </m:r>
        </m:oMath>
      </m:oMathPara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Hypothesized mean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706</m:t>
              </m:r>
            </m:num>
            <m:den>
              <m:r>
                <m:t>4.33</m:t>
              </m:r>
            </m:den>
          </m:f>
          <m:r>
            <m:t>=</m:t>
          </m:r>
          <m:r>
            <m:t>$</m:t>
          </m:r>
          <m:r>
            <m:t>163.0485</m:t>
          </m:r>
          <m:r>
            <m:rPr>
              <m:nor/>
              <m:sty m:val="p"/>
            </m:rPr>
            <m:t> per week</m:t>
          </m:r>
          <m:r>
            <m:t>.</m:t>
          </m:r>
        </m:oMath>
      </m:oMathPara>
    </w:p>
    <w:p>
      <w:pPr>
        <w:pStyle w:val="FirstParagraph"/>
      </w:pPr>
      <w:r>
        <w:rPr>
          <w:b/>
        </w:rPr>
        <w:t xml:space="preserve">Manual calculation: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=</m:t>
          </m:r>
          <m:f>
            <m:fPr>
              <m:type m:val="bar"/>
            </m:fPr>
            <m:num>
              <m:r>
                <m:t>175.0885</m:t>
              </m:r>
              <m:r>
                <m:t>−</m:t>
              </m:r>
              <m:r>
                <m:t>163.0485</m:t>
              </m:r>
            </m:num>
            <m:den>
              <m:r>
                <m:t>1.8845</m:t>
              </m:r>
            </m:den>
          </m:f>
          <m:r>
            <m:t>=</m:t>
          </m:r>
          <m:f>
            <m:fPr>
              <m:type m:val="bar"/>
            </m:fPr>
            <m:num>
              <m:r>
                <m:t>12.0400</m:t>
              </m:r>
            </m:num>
            <m:den>
              <m:r>
                <m:t>1.8845</m:t>
              </m:r>
            </m:den>
          </m:f>
          <m:r>
            <m:t>=</m:t>
          </m:r>
          <m:r>
            <m:rPr>
              <m:sty m:val="b"/>
            </m:rPr>
            <m:t>6.389</m:t>
          </m:r>
          <m:r>
            <m:t>.</m:t>
          </m:r>
        </m:oMath>
      </m:oMathPara>
    </w:p>
    <w:p>
      <w:pPr>
        <w:pStyle w:val="FirstParagraph"/>
      </w:pPr>
      <w:r>
        <w:t xml:space="preserve">The same calculation in monthly terms (every element × 4.33) gives the identical statistic: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=</m:t>
          </m:r>
          <m:f>
            <m:fPr>
              <m:type m:val="bar"/>
            </m:fPr>
            <m:num>
              <m:r>
                <m:t>758.13</m:t>
              </m:r>
              <m:r>
                <m:t>−</m:t>
              </m:r>
              <m:r>
                <m:t>706</m:t>
              </m:r>
            </m:num>
            <m:den>
              <m:r>
                <m:t>259.71</m:t>
              </m:r>
              <m:r>
                <m:t>/</m:t>
              </m:r>
              <m:rad>
                <m:radPr>
                  <m:degHide m:val="1"/>
                </m:radPr>
                <m:deg/>
                <m:e>
                  <m:r>
                    <m:t>1013</m:t>
                  </m:r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52.13</m:t>
              </m:r>
            </m:num>
            <m:den>
              <m:r>
                <m:t>8.160</m:t>
              </m:r>
            </m:den>
          </m:f>
          <m:r>
            <m:t>=</m:t>
          </m:r>
          <m:r>
            <m:t>6.389</m:t>
          </m:r>
          <m:r>
            <m:t>.</m:t>
          </m:r>
        </m:oMath>
      </m:oMathPara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Monthly (× 4.33)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1,013</w:t>
            </w:r>
          </w:p>
        </w:tc>
        <w:tc>
          <w:p>
            <w:pPr>
              <w:pStyle w:val="Compact"/>
              <w:jc w:val="left"/>
            </w:pPr>
            <w:r>
              <w:t xml:space="preserve">1,013</w:t>
            </w:r>
          </w:p>
        </w:tc>
      </w:tr>
      <w:tr>
        <w:tc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</w:p>
        </w:tc>
        <w:tc>
          <w:p>
            <w:pPr>
              <w:pStyle w:val="Compact"/>
              <w:jc w:val="left"/>
            </w:pPr>
            <w:r>
              <w:t xml:space="preserve">$175.0885</w:t>
            </w:r>
          </w:p>
        </w:tc>
        <w:tc>
          <w:p>
            <w:pPr>
              <w:pStyle w:val="Compact"/>
              <w:jc w:val="left"/>
            </w:pPr>
            <w:r>
              <w:t xml:space="preserve">$758.13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$59.9800</w:t>
            </w:r>
          </w:p>
        </w:tc>
        <w:tc>
          <w:p>
            <w:pPr>
              <w:pStyle w:val="Compact"/>
              <w:jc w:val="left"/>
            </w:pPr>
            <w:r>
              <w:t xml:space="preserve">$259.71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S</m:t>
              </m:r>
              <m:r>
                <m:t>E</m:t>
              </m:r>
              <m: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)</m:t>
              </m:r>
              <m:r>
                <m:t>=</m:t>
              </m:r>
              <m:r>
                <m:t>s</m:t>
              </m:r>
              <m:r>
                <m:t>/</m:t>
              </m:r>
              <m:rad>
                <m:radPr>
                  <m:degHide m:val="1"/>
                </m:radPr>
                <m:deg/>
                <m:e>
                  <m:r>
                    <m:t>n</m:t>
                  </m:r>
                </m:e>
              </m:rad>
            </m:oMath>
          </w:p>
        </w:tc>
        <w:tc>
          <w:p>
            <w:pPr>
              <w:pStyle w:val="Compact"/>
              <w:jc w:val="left"/>
            </w:pPr>
            <w:r>
              <w:t xml:space="preserve">1.8845</w:t>
            </w:r>
          </w:p>
        </w:tc>
        <w:tc>
          <w:p>
            <w:pPr>
              <w:pStyle w:val="Compact"/>
              <w:jc w:val="left"/>
            </w:pPr>
            <w:r>
              <w:t xml:space="preserve">8.160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$163.0485</w:t>
            </w:r>
          </w:p>
        </w:tc>
        <w:tc>
          <w:p>
            <w:pPr>
              <w:pStyle w:val="Compact"/>
              <w:jc w:val="left"/>
            </w:pPr>
            <w:r>
              <w:t xml:space="preserve">$706.00</w:t>
            </w:r>
          </w:p>
        </w:tc>
      </w:tr>
      <w:tr>
        <w:tc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$12.0400</w:t>
            </w:r>
          </w:p>
        </w:tc>
        <w:tc>
          <w:p>
            <w:pPr>
              <w:pStyle w:val="Compact"/>
              <w:jc w:val="left"/>
            </w:pPr>
            <w:r>
              <w:t xml:space="preserve">$52.13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6.389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6.389</w:t>
            </w:r>
          </w:p>
        </w:tc>
      </w:tr>
    </w:tbl>
    <w:bookmarkEnd w:id="30"/>
    <w:bookmarkStart w:id="31" w:name="c-software-check-and-p-value"/>
    <w:p>
      <w:pPr>
        <w:pStyle w:val="Heading2"/>
      </w:pPr>
      <w:r>
        <w:t xml:space="preserve">(c) Software check and p-value</w:t>
      </w:r>
    </w:p>
    <w:p>
      <w:pPr>
        <w:pStyle w:val="FirstParagraph"/>
      </w:pPr>
      <w:r>
        <w:t xml:space="preserve">For a two-sided test, the p-value is the probability,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of a</w:t>
      </w:r>
      <w:r>
        <w:t xml:space="preserve"> </w:t>
      </w:r>
      <w:r>
        <w:rPr>
          <w:i/>
        </w:rPr>
        <w:t xml:space="preserve">t</w:t>
      </w:r>
      <w:r>
        <w:t xml:space="preserve">-statistic at least as far from zero</w:t>
      </w:r>
      <w:r>
        <w:t xml:space="preserve"> </w:t>
      </w:r>
      <w:r>
        <w:t xml:space="preserve">as the one observed: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=</m:t>
          </m:r>
          <m:r>
            <m:t>P</m:t>
          </m:r>
          <m:d>
            <m:dPr>
              <m:begChr m:val="("/>
              <m:endChr m:val=")"/>
              <m:grow/>
            </m:dPr>
            <m:e>
              <m:r>
                <m:t>|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t>−</m:t>
                  </m:r>
                  <m:r>
                    <m:t>1</m:t>
                  </m:r>
                </m:sub>
              </m:sSub>
              <m:r>
                <m:t>|</m:t>
              </m:r>
              <m:r>
                <m:t>≥</m:t>
              </m:r>
              <m:r>
                <m:t>|</m:t>
              </m:r>
              <m:r>
                <m:t>t</m:t>
              </m:r>
              <m:r>
                <m:t>|</m:t>
              </m:r>
            </m:e>
          </m:d>
          <m:r>
            <m:t>=</m:t>
          </m:r>
          <m:r>
            <m:t>2</m:t>
          </m:r>
          <m:d>
            <m:dPr>
              <m:begChr m:val="["/>
              <m:endChr m:val="]"/>
              <m:grow/>
            </m:dPr>
            <m:e>
              <m:r>
                <m:t>1</m:t>
              </m:r>
              <m:r>
                <m:t>−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t>,</m:t>
                  </m:r>
                  <m:r>
                    <m:t> </m:t>
                  </m:r>
                  <m:r>
                    <m:t>n</m:t>
                  </m:r>
                  <m:r>
                    <m:t>−</m:t>
                  </m:r>
                  <m:r>
                    <m:t>1</m:t>
                  </m:r>
                </m:sub>
              </m:sSub>
              <m:d>
                <m:dPr>
                  <m:begChr m:val="("/>
                  <m:endChr m:val=")"/>
                  <m:grow/>
                </m:dPr>
                <m:e>
                  <m:r>
                    <m:t>|</m:t>
                  </m:r>
                  <m:r>
                    <m:t>t</m:t>
                  </m:r>
                  <m:r>
                    <m:t>|</m:t>
                  </m:r>
                </m:e>
              </m:d>
            </m:e>
          </m:d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  <m:r>
              <m:t>,</m:t>
            </m:r>
            <m:r>
              <m:t> </m:t>
            </m:r>
            <m:r>
              <m:t>n</m:t>
            </m:r>
            <m: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the CDF of the</w:t>
      </w:r>
      <w:r>
        <w:t xml:space="preserve"> </w:t>
      </w:r>
      <w:r>
        <w:rPr>
          <w:i/>
        </w:rPr>
        <w:t xml:space="preserve">t</w:t>
      </w:r>
      <w:r>
        <w:t xml:space="preserve"> </w:t>
      </w:r>
      <w:r>
        <w:t xml:space="preserve">distribution with</w:t>
      </w:r>
      <w:r>
        <w:t xml:space="preserve"> </w:t>
      </w:r>
      <m:oMath>
        <m:r>
          <m:t>n</m:t>
        </m:r>
        <m:r>
          <m:t>−</m:t>
        </m:r>
        <m:r>
          <m:t>1</m:t>
        </m:r>
      </m:oMath>
      <w:r>
        <w:t xml:space="preserve"> </w:t>
      </w:r>
      <w:r>
        <w:t xml:space="preserve">degrees of freedom. Python’s</w:t>
      </w:r>
      <w:r>
        <w:t xml:space="preserve"> </w:t>
      </w:r>
      <w:r>
        <w:rPr>
          <w:rStyle w:val="VerbatimChar"/>
        </w:rPr>
        <w:t xml:space="preserve">scipy.stats.ttest_1samp(x, 706/4.33)</w:t>
      </w:r>
      <w:r>
        <w:t xml:space="preserve"> </w:t>
      </w:r>
      <w:r>
        <w:t xml:space="preserve">returns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=</m:t>
          </m:r>
          <m:r>
            <m:t>6.3889</m:t>
          </m:r>
          <m:r>
            <m:t>,</m:t>
          </m:r>
          <m:r>
            <m:t>  </m:t>
          </m:r>
          <m:r>
            <m:t>p</m:t>
          </m:r>
          <m:r>
            <m:t>=</m:t>
          </m:r>
          <m:r>
            <m:t>2</m:t>
          </m:r>
          <m:d>
            <m:dPr>
              <m:begChr m:val="["/>
              <m:endChr m:val="]"/>
              <m:grow/>
            </m:dPr>
            <m:e>
              <m:r>
                <m:t>1</m:t>
              </m:r>
              <m:r>
                <m:t>−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t>,</m:t>
                  </m:r>
                  <m:r>
                    <m:t> </m:t>
                  </m:r>
                  <m:r>
                    <m:t>1012</m:t>
                  </m:r>
                </m:sub>
              </m:sSub>
              <m:r>
                <m:t>(</m:t>
              </m:r>
              <m:r>
                <m:t>6.3889</m:t>
              </m:r>
              <m:r>
                <m:t>)</m:t>
              </m:r>
            </m:e>
          </m:d>
          <m:r>
            <m:t>=</m:t>
          </m:r>
          <m:r>
            <m:t>2.5</m:t>
          </m:r>
          <m:r>
            <m:t>×</m:t>
          </m:r>
          <m:sSup>
            <m:e>
              <m:r>
                <m:t>10</m:t>
              </m:r>
            </m:e>
            <m:sup>
              <m:r>
                <m:t>−</m:t>
              </m:r>
              <m:r>
                <m:t>10</m:t>
              </m:r>
            </m:sup>
          </m:sSup>
          <m:r>
            <m:t>,</m:t>
          </m:r>
        </m:oMath>
      </m:oMathPara>
    </w:p>
    <w:p>
      <w:pPr>
        <w:pStyle w:val="FirstParagraph"/>
      </w:pPr>
      <w:r>
        <w:t xml:space="preserve">which matches the manual calculation.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this large the</w:t>
      </w:r>
      <w:r>
        <w:t xml:space="preserve"> </w:t>
      </w:r>
      <w:r>
        <w:rPr>
          <w:i/>
        </w:rPr>
        <w:t xml:space="preserve">t</w:t>
      </w:r>
      <w:r>
        <w:t xml:space="preserve"> </w:t>
      </w:r>
      <w:r>
        <w:t xml:space="preserve">and standard normal distributions are</w:t>
      </w:r>
      <w:r>
        <w:t xml:space="preserve"> </w:t>
      </w:r>
      <w:r>
        <w:t xml:space="preserve">nearly identical: the critical value is</w:t>
      </w:r>
      <w:r>
        <w:t xml:space="preserve"> </w:t>
      </w:r>
      <m:oMath>
        <m:sSub>
          <m:e>
            <m:r>
              <m:t>t</m:t>
            </m:r>
          </m:e>
          <m:sub>
            <m:r>
              <m:t>0.975</m:t>
            </m:r>
            <m:r>
              <m:t>,</m:t>
            </m:r>
            <m:r>
              <m:t> </m:t>
            </m:r>
            <m:r>
              <m:t>1012</m:t>
            </m:r>
          </m:sub>
        </m:sSub>
        <m:r>
          <m:t>=</m:t>
        </m:r>
        <m:r>
          <m:t>1.962</m:t>
        </m:r>
      </m:oMath>
      <w:r>
        <w:t xml:space="preserve"> </w:t>
      </w:r>
      <w:r>
        <w:t xml:space="preserve">(vs. 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t>=</m:t>
        </m:r>
        <m:r>
          <m:t>1.960</m:t>
        </m:r>
      </m:oMath>
      <w:r>
        <w:t xml:space="preserve">), and a large-sample</w:t>
      </w:r>
      <w:r>
        <w:t xml:space="preserve"> </w:t>
      </w:r>
      <w:r>
        <w:rPr>
          <w:i/>
        </w:rPr>
        <w:t xml:space="preserve">z</w:t>
      </w:r>
      <w:r>
        <w:t xml:space="preserve">-test gives</w:t>
      </w:r>
      <w:r>
        <w:t xml:space="preserve"> </w:t>
      </w:r>
      <m:oMath>
        <m:r>
          <m:t>p</m:t>
        </m:r>
        <m:r>
          <m:t>=</m:t>
        </m:r>
        <m:r>
          <m:t>2</m:t>
        </m:r>
        <m:r>
          <m:t>[</m:t>
        </m:r>
        <m:r>
          <m:t>1</m:t>
        </m:r>
        <m:r>
          <m:t>−</m:t>
        </m:r>
        <m:r>
          <m:t>Φ</m:t>
        </m:r>
        <m:r>
          <m:t>(</m:t>
        </m:r>
        <m:r>
          <m:t>6.389</m:t>
        </m:r>
        <m:r>
          <m:t>)</m:t>
        </m:r>
        <m:r>
          <m:t>]</m:t>
        </m:r>
        <m:r>
          <m:t>=</m:t>
        </m:r>
        <m:r>
          <m:t>1.7</m:t>
        </m:r>
        <m:r>
          <m:t>×</m:t>
        </m:r>
        <m:sSup>
          <m:e>
            <m:r>
              <m:t>10</m:t>
            </m:r>
          </m:e>
          <m:sup>
            <m:r>
              <m:t>−</m:t>
            </m:r>
            <m:r>
              <m:t>10</m:t>
            </m:r>
          </m:sup>
        </m:sSup>
      </m:oMath>
      <w:r>
        <w:t xml:space="preserve">. The conclusion is the same.</w:t>
      </w:r>
    </w:p>
    <w:bookmarkEnd w:id="31"/>
    <w:bookmarkStart w:id="35" w:name="d-interpretation"/>
    <w:p>
      <w:pPr>
        <w:pStyle w:val="Heading2"/>
      </w:pPr>
      <w:r>
        <w:t xml:space="preserve">(d) Interpretation</w:t>
      </w:r>
    </w:p>
    <w:p>
      <w:pPr>
        <w:pStyle w:val="FirstParagraph"/>
      </w:pPr>
      <w:r>
        <w:drawing>
          <wp:inline>
            <wp:extent cx="5334000" cy="2031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s4_output/fig_voucher_hi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06248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s4_output/fig_voucher_g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|</m:t>
        </m:r>
        <m:r>
          <m:t>t</m:t>
        </m:r>
        <m:r>
          <m:t>|</m:t>
        </m:r>
        <m:r>
          <m:t>=</m:t>
        </m:r>
        <m:r>
          <m:t>6.39</m:t>
        </m:r>
        <m:r>
          <m:t>&gt;</m:t>
        </m:r>
        <m:sSub>
          <m:e>
            <m:r>
              <m:t>t</m:t>
            </m:r>
          </m:e>
          <m:sub>
            <m:r>
              <m:t>0.975</m:t>
            </m:r>
            <m:r>
              <m:t>,</m:t>
            </m:r>
            <m:r>
              <m:t> </m:t>
            </m:r>
            <m:r>
              <m:t>1012</m:t>
            </m:r>
          </m:sub>
        </m:sSub>
        <m:r>
          <m:t>=</m:t>
        </m:r>
        <m:r>
          <m:t>1.962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t>≈</m:t>
        </m:r>
        <m:r>
          <m:t>2.5</m:t>
        </m:r>
        <m:r>
          <m:t>×</m:t>
        </m:r>
        <m:sSup>
          <m:e>
            <m:r>
              <m:t>10</m:t>
            </m:r>
          </m:e>
          <m:sup>
            <m:r>
              <m:t>−</m:t>
            </m:r>
            <m:r>
              <m:t>10</m:t>
            </m:r>
          </m:sup>
        </m:sSup>
        <m:r>
          <m:t>&lt;</m:t>
        </m:r>
        <m:r>
          <m:t>0.05</m:t>
        </m:r>
      </m:oMath>
      <w:r>
        <w:t xml:space="preserve">, we</w:t>
      </w:r>
      <w:r>
        <w:t xml:space="preserve"> </w:t>
      </w:r>
      <w:r>
        <w:rPr>
          <w:b/>
        </w:rPr>
        <w:t xml:space="preserve">reject</w:t>
      </w:r>
      <w:r>
        <w:rPr>
          <w:b/>
        </w:rP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 the voucher really equalled the average metro median price, a sample mean $12 or more away from $163.05</w:t>
      </w:r>
      <w:r>
        <w:t xml:space="preserve"> </w:t>
      </w:r>
      <w:r>
        <w:t xml:space="preserve">would almost never occur by chance. In 2022 the average metro county’s median preschool price</w:t>
      </w:r>
      <w:r>
        <w:t xml:space="preserve"> </w:t>
      </w:r>
      <w:r>
        <w:t xml:space="preserve">($175.09/week, 95% CI [$171.39, $178.78], ≈ $758/month) is about</w:t>
      </w:r>
      <w:r>
        <w:t xml:space="preserve"> </w:t>
      </w:r>
      <w:r>
        <w:rPr>
          <w:b/>
        </w:rPr>
        <w:t xml:space="preserve">$12/week (≈ $52/month, 7%) above the</w:t>
      </w:r>
      <w:r>
        <w:rPr>
          <w:b/>
        </w:rPr>
        <w:t xml:space="preserve"> </w:t>
      </w:r>
      <w:r>
        <w:rPr>
          <w:b/>
        </w:rPr>
        <w:t xml:space="preserve">voucher</w:t>
      </w:r>
      <w:r>
        <w:t xml:space="preserve">, so a family relying only on the voucher would have to pay the difference at a median-priced center.</w:t>
      </w:r>
      <w:r>
        <w:rPr>
          <w:rStyle w:val="FootnoteReference"/>
        </w:rPr>
        <w:footnoteReference w:id="34"/>
      </w:r>
    </w:p>
    <w:p>
      <w:pPr>
        <w:pStyle w:val="BodyText"/>
      </w:pPr>
      <w:r>
        <w:rPr>
          <w:b/>
        </w:rPr>
        <w:t xml:space="preserve">Nuance: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median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average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refer to different levels.</w:t>
      </w:r>
      <w:r>
        <w:t xml:space="preserve"> </w:t>
      </w:r>
      <w:r>
        <w:t xml:space="preserve">The claim’s</w:t>
      </w:r>
      <w:r>
        <w:t xml:space="preserve"> </w:t>
      </w:r>
      <w:r>
        <w:t xml:space="preserve">“</w:t>
      </w:r>
      <w:r>
        <w:t xml:space="preserve">median-priced center</w:t>
      </w:r>
      <w:r>
        <w:t xml:space="preserve">”</w:t>
      </w:r>
      <w:r>
        <w:t xml:space="preserve"> </w:t>
      </w:r>
      <w:r>
        <w:t xml:space="preserve">is the median</w:t>
      </w:r>
      <w:r>
        <w:t xml:space="preserve"> </w:t>
      </w:r>
      <w:r>
        <w:rPr>
          <w:i/>
        </w:rPr>
        <w:t xml:space="preserve">across centers within an area</w:t>
      </w:r>
      <w:r>
        <w:t xml:space="preserve">. That is already each data point:</w:t>
      </w:r>
      <w:r>
        <w:t xml:space="preserve"> </w:t>
      </w:r>
      <w:r>
        <w:rPr>
          <w:rStyle w:val="VerbatimChar"/>
        </w:rPr>
        <w:t xml:space="preserve">MCPRESCHOOL</w:t>
      </w:r>
      <w:r>
        <w:t xml:space="preserve"> </w:t>
      </w:r>
      <w:r>
        <w:t xml:space="preserve">is a county’s median price across</w:t>
      </w:r>
      <w:r>
        <w:t xml:space="preserve"> </w:t>
      </w:r>
      <w:r>
        <w:t xml:space="preserve">its providers.</w:t>
      </w:r>
      <w:r>
        <w:t xml:space="preserve"> </w:t>
      </w:r>
      <w:r>
        <w:t xml:space="preserve">“</w:t>
      </w:r>
      <w:r>
        <w:t xml:space="preserve">In the average metro area</w:t>
      </w:r>
      <w:r>
        <w:t xml:space="preserve">”</w:t>
      </w:r>
      <w:r>
        <w:t xml:space="preserve"> </w:t>
      </w:r>
      <w:r>
        <w:t xml:space="preserve">is the average</w:t>
      </w:r>
      <w:r>
        <w:t xml:space="preserve"> </w:t>
      </w:r>
      <w:r>
        <w:rPr>
          <w:i/>
        </w:rPr>
        <w:t xml:space="preserve">across areas</w:t>
      </w:r>
      <w:r>
        <w:t xml:space="preserve">, which is what the</w:t>
      </w:r>
      <w:r>
        <w:t xml:space="preserve"> </w:t>
      </w:r>
      <w:r>
        <w:rPr>
          <w:i/>
        </w:rPr>
        <w:t xml:space="preserve">t</w:t>
      </w:r>
      <w:r>
        <w:t xml:space="preserve">-test above tests.</w:t>
      </w:r>
      <w:r>
        <w:t xml:space="preserve"> </w:t>
      </w:r>
      <w:r>
        <w:t xml:space="preserve">If</w:t>
      </w:r>
      <w:r>
        <w:t xml:space="preserve"> </w:t>
      </w:r>
      <w:r>
        <w:t xml:space="preserve">“</w:t>
      </w:r>
      <w:r>
        <w:t xml:space="preserve">average metro area</w:t>
      </w:r>
      <w:r>
        <w:t xml:space="preserve">”</w:t>
      </w:r>
      <w:r>
        <w:t xml:space="preserve"> </w:t>
      </w:r>
      <w:r>
        <w:t xml:space="preserve">is read instead as the</w:t>
      </w:r>
      <w:r>
        <w:t xml:space="preserve"> </w:t>
      </w:r>
      <w:r>
        <w:rPr>
          <w:i/>
        </w:rPr>
        <w:t xml:space="preserve">typical</w:t>
      </w:r>
      <w:r>
        <w:t xml:space="preserve"> </w:t>
      </w:r>
      <w:r>
        <w:t xml:space="preserve">(median) metro county, the right tool is a</w:t>
      </w:r>
      <w:r>
        <w:t xml:space="preserve"> </w:t>
      </w:r>
      <w:r>
        <w:rPr>
          <w:b/>
        </w:rPr>
        <w:t xml:space="preserve">sign test</w:t>
      </w:r>
      <w:r>
        <w:t xml:space="preserve">: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each county is equally likely to be priced above or below the voucher, so the number above is</w:t>
      </w:r>
      <w:r>
        <w:t xml:space="preserve"> </w:t>
      </w:r>
      <m:oMath>
        <m:r>
          <m:rPr>
            <m:nor/>
            <m:sty m:val="p"/>
          </m:rPr>
          <m:t>Binomial</m:t>
        </m:r>
        <m:r>
          <m:t>(</m:t>
        </m:r>
        <m:r>
          <m:t>n</m:t>
        </m:r>
        <m:r>
          <m:t>,</m:t>
        </m:r>
        <m:r>
          <m:t>0.5</m:t>
        </m:r>
        <m: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=</m:t>
          </m:r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t>−</m:t>
              </m:r>
              <m:r>
                <m:t>0.5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0.5</m:t>
                  </m:r>
                  <m:r>
                    <m:t>×</m:t>
                  </m:r>
                  <m:r>
                    <m:t>0.5</m:t>
                  </m:r>
                  <m:r>
                    <m:t>/</m:t>
                  </m:r>
                  <m:r>
                    <m:t>n</m:t>
                  </m:r>
                </m:e>
              </m:rad>
            </m:den>
          </m:f>
          <m:r>
            <m:t>,</m:t>
          </m:r>
          <m:r>
            <m:t>  </m:t>
          </m:r>
          <m:acc>
            <m:accPr>
              <m:chr m:val="̂"/>
            </m:accPr>
            <m:e>
              <m:r>
                <m:t>p</m:t>
              </m:r>
            </m:e>
          </m:acc>
          <m:r>
            <m:t>=</m:t>
          </m:r>
          <m:f>
            <m:fPr>
              <m:type m:val="bar"/>
            </m:fPr>
            <m:num>
              <m:r>
                <m:t>#</m:t>
              </m:r>
              <m:r>
                <m:t>{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&gt;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}</m:t>
              </m:r>
            </m:num>
            <m:den>
              <m:r>
                <m:t>n</m:t>
              </m:r>
            </m:den>
          </m:f>
          <m:r>
            <m:t>.</m:t>
          </m:r>
        </m:oMath>
      </m:oMathPara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 test (median across counties = voucher)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across counties vs. voucher (weekly)</w:t>
            </w:r>
          </w:p>
        </w:tc>
        <w:tc>
          <w:p>
            <w:pPr>
              <w:pStyle w:val="Compact"/>
              <w:jc w:val="left"/>
            </w:pPr>
            <w:r>
              <w:t xml:space="preserve">$162.50 vs. $163.05</w:t>
            </w:r>
          </w:p>
        </w:tc>
        <w:tc>
          <w:p>
            <w:pPr>
              <w:pStyle w:val="Compact"/>
              <w:jc w:val="left"/>
            </w:pPr>
            <w:r>
              <w:t xml:space="preserve">$129.28 vs. $109.24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Counties above / below the voucher</w:t>
            </w:r>
          </w:p>
        </w:tc>
        <w:tc>
          <w:p>
            <w:pPr>
              <w:pStyle w:val="Compact"/>
              <w:jc w:val="left"/>
            </w:pPr>
            <w:r>
              <w:t xml:space="preserve">496 / 517</w:t>
            </w:r>
          </w:p>
        </w:tc>
        <w:tc>
          <w:p>
            <w:pPr>
              <w:pStyle w:val="Compact"/>
              <w:jc w:val="left"/>
            </w:pPr>
            <w:r>
              <w:t xml:space="preserve">753 / 250</w:t>
            </w:r>
          </w:p>
        </w:tc>
      </w:tr>
      <w:tr>
        <w:tc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(share above)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0.751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z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−0.66</w:t>
            </w:r>
          </w:p>
        </w:tc>
        <w:tc>
          <w:p>
            <w:pPr>
              <w:pStyle w:val="Compact"/>
              <w:jc w:val="left"/>
            </w:pPr>
            <w:r>
              <w:t xml:space="preserve">15.88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p-value (exact binomial)</w:t>
            </w:r>
          </w:p>
        </w:tc>
        <w:tc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p>
            <w:pPr>
              <w:pStyle w:val="Compact"/>
              <w:jc w:val="left"/>
            </w:pPr>
            <m:oMath>
              <m:r>
                <m:t>4</m:t>
              </m:r>
              <m:r>
                <m:t>×</m:t>
              </m:r>
              <m:sSup>
                <m:e>
                  <m:r>
                    <m:t>10</m:t>
                  </m:r>
                </m:e>
                <m:sup>
                  <m:r>
                    <m:t>−</m:t>
                  </m:r>
                  <m:r>
                    <m:t>59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Decision at 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 to reject</w:t>
            </w:r>
          </w:p>
        </w:tc>
        <w:tc>
          <w:p>
            <w:pPr>
              <w:pStyle w:val="Compact"/>
              <w:jc w:val="left"/>
            </w:pPr>
            <w:r>
              <w:t xml:space="preserve">reject</w:t>
            </w:r>
          </w:p>
        </w:tc>
      </w:tr>
    </w:tbl>
    <w:p>
      <w:pPr>
        <w:pStyle w:val="BodyText"/>
      </w:pPr>
      <w:r>
        <w:t xml:space="preserve">So in 2022</w:t>
      </w:r>
      <w:r>
        <w:t xml:space="preserve"> </w:t>
      </w:r>
      <w:r>
        <w:rPr>
          <w:b/>
        </w:rPr>
        <w:t xml:space="preserve">ACF is right about the typical metro county</w:t>
      </w:r>
      <w:r>
        <w:t xml:space="preserve">: the voucher sits almost exactly at the median county</w:t>
      </w:r>
      <w:r>
        <w:t xml:space="preserve"> </w:t>
      </w:r>
      <w:r>
        <w:t xml:space="preserve">price. It is</w:t>
      </w:r>
      <w:r>
        <w:t xml:space="preserve"> </w:t>
      </w:r>
      <w:r>
        <w:rPr>
          <w:b/>
        </w:rPr>
        <w:t xml:space="preserve">wrong about the average</w:t>
      </w:r>
      <w:r>
        <w:t xml:space="preserve">, because the price distribution is right-skewed and a tail of expensive</w:t>
      </w:r>
      <w:r>
        <w:t xml:space="preserve"> </w:t>
      </w:r>
      <w:r>
        <w:t xml:space="preserve">counties pulls the mean about $52/month above the voucher. We keep the</w:t>
      </w:r>
      <w:r>
        <w:t xml:space="preserve"> </w:t>
      </w:r>
      <w:r>
        <w:rPr>
          <w:i/>
        </w:rPr>
        <w:t xml:space="preserve">t</w:t>
      </w:r>
      <w:r>
        <w:t xml:space="preserve">-test on the mean as our main answer</w:t>
      </w:r>
      <w:r>
        <w:t xml:space="preserve"> </w:t>
      </w:r>
      <w:r>
        <w:t xml:space="preserve">because it matches the wording (</w:t>
      </w:r>
      <w:r>
        <w:t xml:space="preserve">“</w:t>
      </w:r>
      <w:r>
        <w:t xml:space="preserve">average</w:t>
      </w:r>
      <w:r>
        <w:t xml:space="preserve">”</w:t>
      </w:r>
      <w:r>
        <w:t xml:space="preserve">) and parts (b)–(c).</w:t>
      </w:r>
    </w:p>
    <w:p>
      <w:pPr>
        <w:pStyle w:val="BodyText"/>
      </w:pPr>
      <w:r>
        <w:rPr>
          <w:b/>
        </w:rPr>
        <w:t xml:space="preserve">Repeating with 2015 data and the 2015 voucher (nominal prices vs. the nominal voucher):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t>/</m:t>
              </m:r>
              <m:rad>
                <m:radPr>
                  <m:degHide m:val="1"/>
                </m:radPr>
                <m:deg/>
                <m:e>
                  <m:r>
                    <m:t>n</m:t>
                  </m:r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142.5075</m:t>
              </m:r>
              <m:r>
                <m:t>−</m:t>
              </m:r>
              <m:r>
                <m:t>109.2379</m:t>
              </m:r>
            </m:num>
            <m:den>
              <m:r>
                <m:t>45.1741</m:t>
              </m:r>
              <m:r>
                <m:t>/</m:t>
              </m:r>
              <m:rad>
                <m:radPr>
                  <m:degHide m:val="1"/>
                </m:radPr>
                <m:deg/>
                <m:e>
                  <m:r>
                    <m:t>1003</m:t>
                  </m:r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33.2696</m:t>
              </m:r>
            </m:num>
            <m:den>
              <m:r>
                <m:t>1.4264</m:t>
              </m:r>
            </m:den>
          </m:f>
          <m:r>
            <m:t>=</m:t>
          </m:r>
          <m:r>
            <m:rPr>
              <m:sty m:val="b"/>
            </m:rPr>
            <m:t>23.32</m:t>
          </m:r>
          <m:r>
            <m:t>,</m:t>
          </m:r>
          <m:r>
            <m:t>  </m:t>
          </m:r>
          <m:r>
            <m:t>p</m:t>
          </m:r>
          <m:r>
            <m:t>=</m:t>
          </m:r>
          <m:r>
            <m:t>2</m:t>
          </m:r>
          <m:d>
            <m:dPr>
              <m:begChr m:val="["/>
              <m:endChr m:val="]"/>
              <m:grow/>
            </m:dPr>
            <m:e>
              <m:r>
                <m:t>1</m:t>
              </m:r>
              <m:r>
                <m:t>−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t>,</m:t>
                  </m:r>
                  <m:r>
                    <m:t> </m:t>
                  </m:r>
                  <m:r>
                    <m:t>1002</m:t>
                  </m:r>
                </m:sub>
              </m:sSub>
              <m:r>
                <m:t>(</m:t>
              </m:r>
              <m:r>
                <m:t>23.32</m:t>
              </m:r>
              <m:r>
                <m:t>)</m:t>
              </m:r>
            </m:e>
          </m:d>
          <m:r>
            <m:t>≈</m:t>
          </m:r>
          <m:r>
            <m:t>1.8</m:t>
          </m:r>
          <m:r>
            <m:t>×</m:t>
          </m:r>
          <m:sSup>
            <m:e>
              <m:r>
                <m:t>10</m:t>
              </m:r>
            </m:e>
            <m:sup>
              <m:r>
                <m:t>−</m:t>
              </m:r>
              <m:r>
                <m:t>96</m:t>
              </m:r>
            </m:sup>
          </m:sSup>
          <m:r>
            <m:t>.</m:t>
          </m:r>
        </m:oMath>
      </m:oMathPara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2015 (weekly)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(df</w:t>
            </w:r>
            <w:r>
              <w:t xml:space="preserve"> </w:t>
            </w:r>
            <m:oMath>
              <m:r>
                <m:t>=</m:t>
              </m:r>
              <m:r>
                <m:t>n</m:t>
              </m:r>
              <m:r>
                <m:t>−</m:t>
              </m:r>
              <m:r>
                <m:t>1</m:t>
              </m:r>
            </m:oMath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1,003 (1,002)</w:t>
            </w:r>
          </w:p>
        </w:tc>
      </w:tr>
      <w:tr>
        <w:tc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</w:p>
        </w:tc>
        <w:tc>
          <w:p>
            <w:pPr>
              <w:pStyle w:val="Compact"/>
              <w:jc w:val="left"/>
            </w:pPr>
            <w:r>
              <w:t xml:space="preserve">$142.5075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$45.1741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S</m:t>
              </m:r>
              <m:r>
                <m:t>E</m:t>
              </m:r>
              <m: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)</m:t>
              </m:r>
              <m:r>
                <m:t>=</m:t>
              </m:r>
              <m:r>
                <m:t>45.1741</m:t>
              </m:r>
              <m:r>
                <m:t>/</m:t>
              </m:r>
              <m:rad>
                <m:radPr>
                  <m:degHide m:val="1"/>
                </m:radPr>
                <m:deg/>
                <m:e>
                  <m:r>
                    <m:t>1003</m:t>
                  </m:r>
                </m:e>
              </m:rad>
              <m:r>
                <m:t>=</m:t>
              </m:r>
              <m:r>
                <m:t>45.1741</m:t>
              </m:r>
              <m:r>
                <m:t>/</m:t>
              </m:r>
              <m:r>
                <m:t>31.6702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1.4264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=</m:t>
              </m:r>
              <m:r>
                <m:t>473</m:t>
              </m:r>
              <m:r>
                <m:t>/</m:t>
              </m:r>
              <m:r>
                <m:t>4.33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$109.2379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23.32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≈</m:t>
              </m:r>
              <m:r>
                <m:t>1.8</m:t>
              </m:r>
              <m:r>
                <m:t>×</m:t>
              </m:r>
              <m:sSup>
                <m:e>
                  <m:r>
                    <m:t>10</m:t>
                  </m:r>
                </m:e>
                <m:sup>
                  <m:r>
                    <m:t>−</m:t>
                  </m:r>
                  <m:r>
                    <m:t>96</m:t>
                  </m:r>
                </m:sup>
              </m:sSup>
            </m:oMath>
            <w:r>
              <w:t xml:space="preserve"> </w:t>
            </w:r>
            <w:r>
              <w:t xml:space="preserve">(effectively 0)</w:t>
            </w:r>
          </w:p>
        </w:tc>
      </w:tr>
    </w:tbl>
    <w:p>
      <w:pPr>
        <w:pStyle w:val="BodyText"/>
      </w:pPr>
      <w:r>
        <w:t xml:space="preserve">We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2015 as well, and by a much larger margin. In 2015 the voucher covered only 77% of the average</w:t>
      </w:r>
      <w:r>
        <w:t xml:space="preserve"> </w:t>
      </w:r>
      <w:r>
        <w:t xml:space="preserve">metro median preschool price (a $33/week gap, about $144/month), and 75% of metro counties had median prices</w:t>
      </w:r>
      <w:r>
        <w:t xml:space="preserve"> </w:t>
      </w:r>
      <w:r>
        <w:t xml:space="preserve">above the voucher. Between 2015 and 2022 the nominal voucher rose 49% while metro preschool prices rose about</w:t>
      </w:r>
      <w:r>
        <w:t xml:space="preserve"> </w:t>
      </w:r>
      <w:r>
        <w:t xml:space="preserve">23–24%, so the gap shrank from about 30% of the voucher to 7%. The voucher is much closer to market prices in</w:t>
      </w:r>
      <w:r>
        <w:t xml:space="preserve"> </w:t>
      </w:r>
      <w:r>
        <w:t xml:space="preserve">2022, but it is still significantly below the average. (Converting both years to 2022 dollars multiplies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the same CPI factor, so the</w:t>
      </w:r>
      <w:r>
        <w:t xml:space="preserve"> </w:t>
      </w:r>
      <w:r>
        <w:rPr>
          <w:i/>
        </w:rPr>
        <w:t xml:space="preserve">t</w:t>
      </w:r>
      <w:r>
        <w:t xml:space="preserve">-statistics are unchanged.)</w:t>
      </w:r>
    </w:p>
    <w:p>
      <w:pPr>
        <w:pStyle w:val="BodyText"/>
      </w:pPr>
      <w:r>
        <w:rPr>
          <w:i/>
        </w:rPr>
        <w:t xml:space="preserve">Robustness.</w:t>
      </w:r>
      <w:r>
        <w:t xml:space="preserve"> </w:t>
      </w:r>
      <w:r>
        <w:t xml:space="preserve">The metro analysis sample is a hard rule throughout: only counties in an OEWS metropolitan area</w:t>
      </w:r>
      <w:r>
        <w:t xml:space="preserve"> </w:t>
      </w:r>
      <w:r>
        <w:t xml:space="preserve">(</w:t>
      </w:r>
      <w:r>
        <w:rPr>
          <w:rStyle w:val="VerbatimChar"/>
        </w:rPr>
        <w:t xml:space="preserve">oews_area</w:t>
      </w:r>
      <w:r>
        <w:t xml:space="preserve"> </w:t>
      </w:r>
      <w:r>
        <w:t xml:space="preserve">beginning</w:t>
      </w:r>
      <w:r>
        <w:t xml:space="preserve"> </w:t>
      </w:r>
      <w:r>
        <w:rPr>
          <w:rStyle w:val="VerbatimChar"/>
        </w:rPr>
        <w:t xml:space="preserve">00</w:t>
      </w:r>
      <w:r>
        <w:t xml:space="preserve">). Using exactly the same 1,013 metro counties (2022), averaged within each of the</w:t>
      </w:r>
      <w:r>
        <w:t xml:space="preserve"> </w:t>
      </w:r>
      <w:r>
        <w:t xml:space="preserve">341 OEWS metro areas so that each area counts once, we still reject: 2022 mean $175.33,</w:t>
      </w:r>
      <w:r>
        <w:t xml:space="preserve"> </w:t>
      </w:r>
      <m:oMath>
        <m:r>
          <m:t>n</m:t>
        </m:r>
        <m:r>
          <m:t>=</m:t>
        </m:r>
        <m:r>
          <m:t>341</m:t>
        </m:r>
      </m:oMath>
      <w:r>
        <w:t xml:space="preserve"> </w:t>
      </w:r>
      <w:r>
        <w:t xml:space="preserve">areas,</w:t>
      </w:r>
      <w:r>
        <w:t xml:space="preserve"> </w:t>
      </w:r>
      <m:oMath>
        <m:r>
          <m:t>t</m:t>
        </m:r>
        <m:r>
          <m:t>=</m:t>
        </m:r>
        <m:r>
          <m:t>4.33</m:t>
        </m:r>
      </m:oMath>
      <w:r>
        <w:t xml:space="preserve">,</w:t>
      </w:r>
      <w:r>
        <w:t xml:space="preserve"> </w:t>
      </w:r>
      <m:oMath>
        <m:r>
          <m:t>p</m:t>
        </m:r>
        <m:r>
          <m:t>=</m:t>
        </m:r>
        <m:r>
          <m:t>2.0</m:t>
        </m:r>
        <m:r>
          <m:t>×</m:t>
        </m:r>
        <m:sSup>
          <m:e>
            <m:r>
              <m:t>10</m:t>
            </m:r>
          </m:e>
          <m:sup>
            <m:r>
              <m:t>−</m:t>
            </m:r>
            <m:r>
              <m:t>5</m:t>
            </m:r>
          </m:sup>
        </m:sSup>
      </m:oMath>
      <w:r>
        <w:t xml:space="preserve">; 2015 mean $144.47,</w:t>
      </w:r>
      <w:r>
        <w:t xml:space="preserve"> </w:t>
      </w:r>
      <m:oMath>
        <m:r>
          <m:t>t</m:t>
        </m:r>
        <m:r>
          <m:t>=</m:t>
        </m:r>
        <m:r>
          <m:t>15.6</m:t>
        </m:r>
      </m:oMath>
      <w:r>
        <w:t xml:space="preserve">,</w:t>
      </w:r>
      <w:r>
        <w:t xml:space="preserve"> </w:t>
      </w:r>
      <m:oMath>
        <m:r>
          <m:t>p</m:t>
        </m:r>
        <m:r>
          <m:t>≈</m:t>
        </m:r>
        <m:sSup>
          <m:e>
            <m:r>
              <m:t>10</m:t>
            </m:r>
          </m:e>
          <m:sup>
            <m:r>
              <m:t>−</m:t>
            </m:r>
            <m:r>
              <m:t>41</m:t>
            </m:r>
          </m:sup>
        </m:sSup>
      </m:oMath>
      <w:r>
        <w:t xml:space="preserve">.</w:t>
      </w:r>
    </w:p>
    <w:bookmarkEnd w:id="35"/>
    <w:bookmarkEnd w:id="36"/>
    <w:bookmarkStart w:id="37" w:name="data-handling-decisions"/>
    <w:p>
      <w:pPr>
        <w:pStyle w:val="Heading1"/>
      </w:pPr>
      <w:r>
        <w:t xml:space="preserve">Data-handling decisions</w:t>
      </w:r>
    </w:p>
    <w:p>
      <w:pPr>
        <w:pStyle w:val="FirstParagraph"/>
      </w:pPr>
      <w:r>
        <w:t xml:space="preserve">Code, run instructions and the full prompt history are in the project repository,</w:t>
      </w:r>
      <w:r>
        <w:t xml:space="preserve"> </w:t>
      </w:r>
      <w:hyperlink r:id="rId20">
        <w:r>
          <w:rPr>
            <w:rStyle w:val="Hyperlink"/>
          </w:rPr>
          <w:t xml:space="preserve">https://github.com/ignaciosanur/mgt403-childcare-project-green-cohort-7b</w:t>
        </w:r>
      </w:hyperlink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there).</w:t>
      </w:r>
      <w:r>
        <w:t xml:space="preserve"> </w:t>
      </w:r>
      <w:r>
        <w:t xml:space="preserve">The decisions below shaped the numbers in this write-up.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Metro definition</w:t>
      </w:r>
      <w:r>
        <w:t xml:space="preserve"> </w:t>
      </w:r>
      <w:r>
        <w:t xml:space="preserve">uses the year-specific crosswalk row (</w:t>
      </w:r>
      <w:r>
        <w:rPr>
          <w:rStyle w:val="VerbatimChar"/>
        </w:rPr>
        <w:t xml:space="preserve">oews_area</w:t>
      </w:r>
      <w:r>
        <w:t xml:space="preserve"> </w:t>
      </w:r>
      <w:r>
        <w:t xml:space="preserve">starts with</w:t>
      </w:r>
      <w:r>
        <w:t xml:space="preserve"> </w:t>
      </w:r>
      <w:r>
        <w:rPr>
          <w:rStyle w:val="VerbatimChar"/>
        </w:rPr>
        <w:t xml:space="preserve">00</w:t>
      </w:r>
      <w:r>
        <w:t xml:space="preserve">); FIPS codes are kept</w:t>
      </w:r>
      <w:r>
        <w:t xml:space="preserve"> </w:t>
      </w:r>
      <w:r>
        <w:t xml:space="preserve">as 5-character strings and OEWS areas as 7-character strings throughout.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Missing prices</w:t>
      </w:r>
      <w:r>
        <w:t xml:space="preserve"> </w:t>
      </w:r>
      <w:r>
        <w:t xml:space="preserve">are left out (not imputed); N is reported for every statistic.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Legacy county codes:</w:t>
      </w:r>
      <w:r>
        <w:t xml:space="preserve"> </w:t>
      </w:r>
      <w:r>
        <w:t xml:space="preserve">two crosswalk metro codes (12025 Dade, 51515 Bedford city) have no NDCP row. NDCP reports</w:t>
      </w:r>
      <w:r>
        <w:t xml:space="preserve"> </w:t>
      </w:r>
      <w:r>
        <w:t xml:space="preserve">these counties under their current codes (12086, 51019), so no county is lost.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Balanced panel for trends:</w:t>
      </w:r>
      <w:r>
        <w:t xml:space="preserve"> </w:t>
      </w:r>
      <w:r>
        <w:t xml:space="preserve">the states that report prices change from year to year (e.g. 2021 lacks CA, NC, PA</w:t>
      </w:r>
      <w:r>
        <w:t xml:space="preserve"> </w:t>
      </w:r>
      <w:r>
        <w:t xml:space="preserve">and VA and adds Puerto Rico), so Q3 also tracks the 740 metro counties with all three prices in every year.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Sample vs. population:</w:t>
      </w:r>
      <w:r>
        <w:t xml:space="preserve"> </w:t>
      </w:r>
      <w:r>
        <w:t xml:space="preserve">we treat the metro counties as a sample (SD with divisor</w:t>
      </w:r>
      <w:r>
        <w:t xml:space="preserve"> </w:t>
      </w:r>
      <m:oMath>
        <m:r>
          <m:t>n</m:t>
        </m:r>
        <m:r>
          <m:t>−</m:t>
        </m:r>
        <m:r>
          <m:t>1</m:t>
        </m:r>
      </m:oMath>
      <w:r>
        <w:t xml:space="preserve">, standard errors and</w:t>
      </w:r>
      <w:r>
        <w:t xml:space="preserve"> </w:t>
      </w:r>
      <w:r>
        <w:t xml:space="preserve">tests); see Methods.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Weights:</w:t>
      </w:r>
      <w:r>
        <w:t xml:space="preserve"> </w:t>
      </w:r>
      <w:r>
        <w:t xml:space="preserve">all statistics are unweighted county averages. The child-weighted means in Q2 use ACS 2022</w:t>
      </w:r>
      <w:r>
        <w:t xml:space="preserve"> </w:t>
      </w:r>
      <w:r>
        <w:t xml:space="preserve">5-year</w:t>
      </w:r>
      <w:r>
        <w:t xml:space="preserve"> </w:t>
      </w:r>
      <w:r>
        <w:rPr>
          <w:rStyle w:val="VerbatimChar"/>
        </w:rPr>
        <w:t xml:space="preserve">kids_under6</w:t>
      </w:r>
      <w:r>
        <w:t xml:space="preserve"> </w:t>
      </w:r>
      <w:r>
        <w:t xml:space="preserve">(B23008_002E, from</w:t>
      </w:r>
      <w:r>
        <w:t xml:space="preserve"> </w:t>
      </w:r>
      <w:r>
        <w:rPr>
          <w:rStyle w:val="VerbatimChar"/>
        </w:rPr>
        <w:t xml:space="preserve">pull_acs.py</w:t>
      </w:r>
      <w:r>
        <w:t xml:space="preserve">). Connecticut’s 7 metro counties drop out of that calculation</w:t>
      </w:r>
      <w:r>
        <w:t xml:space="preserve"> </w:t>
      </w:r>
      <w:r>
        <w:t xml:space="preserve">because the 2022 ACS reports CT by planning region.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NDCP</w:t>
      </w:r>
      <w:r>
        <w:rPr>
          <w:b/>
        </w:rPr>
        <w:t xml:space="preserve"> </w:t>
      </w:r>
      <w:r>
        <w:rPr>
          <w:rStyle w:val="VerbatimChar"/>
          <w:b/>
        </w:rPr>
        <w:t xml:space="preserve">_flag</w:t>
      </w:r>
      <w:r>
        <w:rPr>
          <w:b/>
        </w:rPr>
        <w:t xml:space="preserve"> </w:t>
      </w:r>
      <w:r>
        <w:rPr>
          <w:b/>
        </w:rPr>
        <w:t xml:space="preserve">columns (values 1/2/3)</w:t>
      </w:r>
      <w:r>
        <w:t xml:space="preserve"> </w:t>
      </w:r>
      <w:r>
        <w:t xml:space="preserve">do not mark imputations. They record how NDCP collapsed its detailed</w:t>
      </w:r>
      <w:r>
        <w:t xml:space="preserve"> </w:t>
      </w:r>
      <w:r>
        <w:t xml:space="preserve">age bands into one age-group price (1 = all bands had the same price, 2 = the most common price, 3 = the</w:t>
      </w:r>
      <w:r>
        <w:t xml:space="preserve"> </w:t>
      </w:r>
      <w:r>
        <w:t xml:space="preserve">highest of several modes; NDCP Technical Report, Appendix C county data dictionary, p. 66). All non-missing values are kept.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CPI-U</w:t>
      </w:r>
      <w:r>
        <w:t xml:space="preserve"> </w:t>
      </w:r>
      <w:r>
        <w:t xml:space="preserve">values were verified against the BLS API (series CUUR0000SA0, annual averages).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 xml:space="preserve">Within-county comparison, 2022 metro counties.</w:t>
      </w:r>
      <w:r>
        <w:t xml:space="preserve"> </w:t>
      </w:r>
      <w:r>
        <w:t xml:space="preserve">The mean of the within-county differences equals the</w:t>
      </w:r>
      <w:r>
        <w:t xml:space="preserve"> </w:t>
      </w:r>
      <w:r>
        <w:t xml:space="preserve">difference of the group means ($28.5, $11.3, $39.8, up to a few cents from the 1–2 counties missing one price);</w:t>
      </w:r>
      <w:r>
        <w:t xml:space="preserve"> </w:t>
      </w:r>
      <w:r>
        <w:t xml:space="preserve">pairing only makes the comparison more precise. The county-by-county split shows how often each gap exists: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FootnoteText"/>
              <w:jc w:val="left"/>
            </w:pPr>
            <w:r>
              <w:t xml:space="preserve">County by county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FootnoteText"/>
              <w:jc w:val="left"/>
            </w:pPr>
            <w:r>
              <w:t xml:space="preserve">Higher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FootnoteText"/>
              <w:jc w:val="left"/>
            </w:pPr>
            <w:r>
              <w:t xml:space="preserve">Same 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FootnoteText"/>
              <w:jc w:val="left"/>
            </w:pPr>
            <w:r>
              <w:t xml:space="preserve">Lower</w:t>
            </w:r>
          </w:p>
        </w:tc>
      </w:tr>
      <w:tr>
        <w:tc>
          <w:p>
            <w:pPr>
              <w:pStyle w:val="FootnoteText"/>
              <w:jc w:val="left"/>
            </w:pPr>
            <w:r>
              <w:t xml:space="preserve">Infant (0–23 mo) vs toddler (24–35 mo)</w:t>
            </w:r>
          </w:p>
        </w:tc>
        <w:tc>
          <w:p>
            <w:pPr>
              <w:pStyle w:val="FootnoteText"/>
              <w:jc w:val="left"/>
            </w:pPr>
            <w:r>
              <w:t xml:space="preserve">92.4%</w:t>
            </w:r>
          </w:p>
        </w:tc>
        <w:tc>
          <w:p>
            <w:pPr>
              <w:pStyle w:val="FootnoteText"/>
              <w:jc w:val="left"/>
            </w:pPr>
            <w:r>
              <w:t xml:space="preserve">4.9%</w:t>
            </w:r>
          </w:p>
        </w:tc>
        <w:tc>
          <w:p>
            <w:pPr>
              <w:pStyle w:val="FootnoteText"/>
              <w:jc w:val="left"/>
            </w:pPr>
            <w:r>
              <w:t xml:space="preserve">2.7%</w:t>
            </w:r>
          </w:p>
        </w:tc>
      </w:tr>
      <w:tr>
        <w:tc>
          <w:p>
            <w:pPr>
              <w:pStyle w:val="FootnoteText"/>
              <w:jc w:val="left"/>
            </w:pPr>
            <w:r>
              <w:t xml:space="preserve">Toddler (24–35 mo) vs preschool (36–54 mo)</w:t>
            </w:r>
          </w:p>
        </w:tc>
        <w:tc>
          <w:p>
            <w:pPr>
              <w:pStyle w:val="FootnoteText"/>
              <w:jc w:val="left"/>
            </w:pPr>
            <w:r>
              <w:t xml:space="preserve">64.5%</w:t>
            </w:r>
          </w:p>
        </w:tc>
        <w:tc>
          <w:p>
            <w:pPr>
              <w:pStyle w:val="FootnoteText"/>
              <w:jc w:val="left"/>
            </w:pPr>
            <w:r>
              <w:t xml:space="preserve">28.6%</w:t>
            </w:r>
          </w:p>
        </w:tc>
        <w:tc>
          <w:p>
            <w:pPr>
              <w:pStyle w:val="FootnoteText"/>
              <w:jc w:val="left"/>
            </w:pPr>
            <w:r>
              <w:t xml:space="preserve">6.9%</w:t>
            </w:r>
          </w:p>
        </w:tc>
      </w:tr>
      <w:tr>
        <w:tc>
          <w:p>
            <w:pPr>
              <w:pStyle w:val="FootnoteText"/>
              <w:jc w:val="left"/>
            </w:pPr>
            <w:r>
              <w:t xml:space="preserve">Infant (0–23 mo) vs preschool (36–54 mo)</w:t>
            </w:r>
          </w:p>
        </w:tc>
        <w:tc>
          <w:p>
            <w:pPr>
              <w:pStyle w:val="FootnoteText"/>
              <w:jc w:val="left"/>
            </w:pPr>
            <w:r>
              <w:t xml:space="preserve">96.4%</w:t>
            </w:r>
          </w:p>
        </w:tc>
        <w:tc>
          <w:p>
            <w:pPr>
              <w:pStyle w:val="FootnoteText"/>
              <w:jc w:val="left"/>
            </w:pPr>
            <w:r>
              <w:t xml:space="preserve">0.0%</w:t>
            </w:r>
          </w:p>
        </w:tc>
        <w:tc>
          <w:p>
            <w:pPr>
              <w:pStyle w:val="FootnoteText"/>
              <w:jc w:val="left"/>
            </w:pPr>
            <w:r>
              <w:t xml:space="preserve">3.6%</w:t>
            </w:r>
          </w:p>
        </w:tc>
      </w:tr>
    </w:tbl>
    <w:p>
      <w:pPr>
        <w:pStyle w:val="FootnoteText"/>
      </w:pPr>
      <w:r>
        <w:t xml:space="preserve">The infant premium is nearly universal. Toddler and preschool care cost exactly the same in 29% of counties,</w:t>
      </w:r>
      <w:r>
        <w:t xml:space="preserve"> </w:t>
      </w:r>
      <w:r>
        <w:t xml:space="preserve">likely because many state surveys do not separate these age bands. The $11 average toddler premium therefore</w:t>
      </w:r>
      <w:r>
        <w:t xml:space="preserve"> </w:t>
      </w:r>
      <w:r>
        <w:t xml:space="preserve">comes from roughly two-thirds of counties.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 xml:space="preserve">How Q2 changes with CPI-U-adjusted prices.</w:t>
      </w:r>
      <w:r>
        <w:t xml:space="preserve"> </w:t>
      </w:r>
      <w:r>
        <w:t xml:space="preserve">Real prices are nominal × CPI₂₀₂₂ / CPI_year. For 2022</w:t>
      </w:r>
      <w:r>
        <w:t xml:space="preserve"> </w:t>
      </w:r>
      <w:r>
        <w:t xml:space="preserve">the factor is 292.655 / 292.655 = 1, so every Q2 number (histograms, means, medians, SDs, CIs, within-county gaps)</w:t>
      </w:r>
      <w:r>
        <w:t xml:space="preserve"> </w:t>
      </w:r>
      <w:r>
        <w:t xml:space="preserve">is identical in nominal and in real 2022 dollars. The adjustment only matters when comparing across years (Q3, and</w:t>
      </w:r>
      <w:r>
        <w:t xml:space="preserve"> </w:t>
      </w:r>
      <w:r>
        <w:t xml:space="preserve">the 2015 part of Q4). More generally, deflating one year’s data multiplies every price by the same constant</w:t>
      </w:r>
      <w:r>
        <w:t xml:space="preserve"> </w:t>
      </w:r>
      <w:r>
        <w:rPr>
          <w:i/>
        </w:rPr>
        <w:t xml:space="preserve">c</w:t>
      </w:r>
      <w:r>
        <w:t xml:space="preserve">,</w:t>
      </w:r>
      <w:r>
        <w:t xml:space="preserve"> </w:t>
      </w:r>
      <w:r>
        <w:t xml:space="preserve">which rescales dollar-valued statistics but leaves the shape and all unit-free results unchanged: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FootnoteText"/>
              <w:jc w:val="left"/>
            </w:pPr>
            <w:r>
              <w:t xml:space="preserve">Statistic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FootnoteText"/>
              <w:jc w:val="left"/>
            </w:pPr>
            <w:r>
              <w:t xml:space="preserve">Effect of multiplying all prices by</w:t>
            </w:r>
            <w:r>
              <w:t xml:space="preserve"> </w:t>
            </w:r>
            <w:r>
              <w:rPr>
                <w:i/>
              </w:rPr>
              <w:t xml:space="preserve">c</w:t>
            </w:r>
          </w:p>
        </w:tc>
      </w:tr>
      <w:tr>
        <w:tc>
          <w:p>
            <w:pPr>
              <w:pStyle w:val="FootnoteText"/>
              <w:jc w:val="left"/>
            </w:pPr>
            <w:r>
              <w:t xml:space="preserve">Mean, median, SD, SE, CI endpoints, within-county gaps</w:t>
            </w:r>
          </w:p>
        </w:tc>
        <w:tc>
          <w:p>
            <w:pPr>
              <w:pStyle w:val="FootnoteText"/>
              <w:jc w:val="left"/>
            </w:pPr>
            <w:r>
              <w:t xml:space="preserve">multiplied by</w:t>
            </w:r>
            <w:r>
              <w:t xml:space="preserve"> </w:t>
            </w:r>
            <w:r>
              <w:rPr>
                <w:i/>
              </w:rPr>
              <w:t xml:space="preserve">c</w:t>
            </w:r>
          </w:p>
        </w:tc>
      </w:tr>
      <w:tr>
        <w:tc>
          <w:p>
            <w:pPr>
              <w:pStyle w:val="FootnoteText"/>
              <w:jc w:val="left"/>
            </w:pPr>
            <w:r>
              <w:t xml:space="preserve">N, skewness, coefficient of variation, % of counties with a gap</w:t>
            </w:r>
          </w:p>
        </w:tc>
        <w:tc>
          <w:p>
            <w:pPr>
              <w:pStyle w:val="FootnoteText"/>
              <w:jc w:val="left"/>
            </w:pPr>
            <w:r>
              <w:t xml:space="preserve">unchanged</w:t>
            </w:r>
          </w:p>
        </w:tc>
      </w:tr>
      <w:tr>
        <w:tc>
          <w:p>
            <w:pPr>
              <w:pStyle w:val="FootnoteText"/>
              <w:jc w:val="left"/>
            </w:pPr>
            <w:r>
              <w:t xml:space="preserve">z-statistics and p-values (e.g. infant vs preschool)</w:t>
            </w:r>
          </w:p>
        </w:tc>
        <w:tc>
          <w:p>
            <w:pPr>
              <w:pStyle w:val="FootnoteText"/>
              <w:jc w:val="left"/>
            </w:pPr>
            <w:r>
              <w:t xml:space="preserve">unchanged, since (c·x̄ − c·μ₀)/(c·s/√n) = (x̄ − μ₀)/(s/√n)</w:t>
            </w:r>
          </w:p>
        </w:tc>
      </w:tr>
      <w:tr>
        <w:tc>
          <w:p>
            <w:pPr>
              <w:pStyle w:val="FootnoteText"/>
              <w:jc w:val="left"/>
            </w:pPr>
            <w:r>
              <w:t xml:space="preserve">Histogram shape, ranking of counties and of age groups</w:t>
            </w:r>
          </w:p>
        </w:tc>
        <w:tc>
          <w:p>
            <w:pPr>
              <w:pStyle w:val="FootnoteText"/>
              <w:jc w:val="left"/>
            </w:pPr>
            <w:r>
              <w:t xml:space="preserve">unchanged (only the x-axis is rescaled)</w:t>
            </w:r>
          </w:p>
        </w:tc>
      </w:tr>
    </w:tbl>
    <w:p>
      <w:pPr>
        <w:pStyle w:val="FootnoteText"/>
      </w:pPr>
      <w:r>
        <w:t xml:space="preserve">For example, expressed in 2015 dollars (</w:t>
      </w:r>
      <w:r>
        <w:rPr>
          <w:i/>
        </w:rPr>
        <w:t xml:space="preserve">c</w:t>
      </w:r>
      <w:r>
        <w:t xml:space="preserve"> </w:t>
      </w:r>
      <w:r>
        <w:t xml:space="preserve">= 237.017 / 292.655 = 0.810) the 2022 preschool mean would be</w:t>
      </w:r>
      <w:r>
        <w:t xml:space="preserve"> </w:t>
      </w:r>
      <w:r>
        <w:t xml:space="preserve">$141.80 (SD $48.58, 95% CI [$138.81, $144.79]), infant $174.08 and toddler $151.01, and every</w:t>
      </w:r>
      <w:r>
        <w:t xml:space="preserve"> </w:t>
      </w:r>
      <w:r>
        <w:t xml:space="preserve">conclusion in Q2 stays the same.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 xml:space="preserve">COVID restrictions and childcare prices (exploratory check).</w:t>
      </w:r>
      <w:r>
        <w:t xml:space="preserve"> </w:t>
      </w:r>
      <w:r>
        <w:t xml:space="preserve">We summarized state COVID restrictions,</w:t>
      </w:r>
      <w:r>
        <w:t xml:space="preserve"> </w:t>
      </w:r>
      <w:r>
        <w:t xml:space="preserve">March 2020–December 2021, from the Oxford COVID-19 Government Response Tracker (OxCGRT, US state totals;</w:t>
      </w:r>
      <w:r>
        <w:t xml:space="preserve"> </w:t>
      </w:r>
      <w:r>
        <w:rPr>
          <w:rStyle w:val="VerbatimChar"/>
        </w:rPr>
        <w:t xml:space="preserve">covid_check.py</w:t>
      </w:r>
      <w:r>
        <w:t xml:space="preserve">, output</w:t>
      </w:r>
      <w:r>
        <w:t xml:space="preserve"> </w:t>
      </w:r>
      <w:r>
        <w:rPr>
          <w:rStyle w:val="VerbatimChar"/>
        </w:rPr>
        <w:t xml:space="preserve">covid_state_restrictions_oxcgrt.csv</w:t>
      </w:r>
      <w:r>
        <w:t xml:space="preserve">). States differed a lot: days under a required</w:t>
      </w:r>
      <w:r>
        <w:t xml:space="preserve"> </w:t>
      </w:r>
      <w:r>
        <w:t xml:space="preserve">stay-at-home order ranged from 0 (e.g. ND, SD, IA, NM) to over 300 (HI), and the average 2020 stringency index ranged</w:t>
      </w:r>
      <w:r>
        <w:t xml:space="preserve"> </w:t>
      </w:r>
      <w:r>
        <w:t xml:space="preserve">from 46 (ND) to 78 (NM). Among the 34 states with balanced-panel metro counties,</w:t>
      </w:r>
      <w:r>
        <w:t xml:space="preserve"> </w:t>
      </w:r>
      <w:r>
        <w:rPr>
          <w:b/>
        </w:rPr>
        <w:t xml:space="preserve">restriction intensity is</w:t>
      </w:r>
      <w:r>
        <w:rPr>
          <w:b/>
        </w:rPr>
        <w:t xml:space="preserve"> </w:t>
      </w:r>
      <w:r>
        <w:rPr>
          <w:b/>
        </w:rPr>
        <w:t xml:space="preserve">essentially unrelated to childcare price changes</w:t>
      </w:r>
      <w:r>
        <w:t xml:space="preserve">. Correlations between stringency, stay-at-home or school-closure</w:t>
      </w:r>
      <w:r>
        <w:t xml:space="preserve"> </w:t>
      </w:r>
      <w:r>
        <w:t xml:space="preserve">days and the 2019→2022 or 2020→2021 real price change range from −0.18 to +0.28, which is weak and noisy with 34</w:t>
      </w:r>
      <w:r>
        <w:t xml:space="preserve"> </w:t>
      </w:r>
      <w:r>
        <w:t xml:space="preserve">states. The stricter half of states saw a 2019→2022 real preschool change of −2.3%, against −1.5% for the less strict</w:t>
      </w:r>
      <w:r>
        <w:t xml:space="preserve"> </w:t>
      </w:r>
      <w:r>
        <w:t xml:space="preserve">half. This is consistent with prices measured in the NDCP being driven more by general inflation and the survey</w:t>
      </w:r>
      <w:r>
        <w:t xml:space="preserve"> </w:t>
      </w:r>
      <w:r>
        <w:t xml:space="preserve">schedule than by local lockdowns. Open questions: effects on</w:t>
      </w:r>
      <w:r>
        <w:t xml:space="preserve"> </w:t>
      </w:r>
      <w:r>
        <w:rPr>
          <w:i/>
        </w:rPr>
        <w:t xml:space="preserve">capacity</w:t>
      </w:r>
      <w:r>
        <w:t xml:space="preserve"> </w:t>
      </w:r>
      <w:r>
        <w:t xml:space="preserve">(center closures, enrollment) and on costs</w:t>
      </w:r>
      <w:r>
        <w:t xml:space="preserve"> </w:t>
      </w:r>
      <w:r>
        <w:t xml:space="preserve">are not visible in price data. The NDCP series may also lag too much to show a short 2020–21 shock.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 xml:space="preserve">Caveat: counties in the same state are not independent.</w:t>
      </w:r>
      <w:r>
        <w:t xml:space="preserve"> </w:t>
      </w:r>
      <w:r>
        <w:t xml:space="preserve">Many states report prices by region or</w:t>
      </w:r>
      <w:r>
        <w:t xml:space="preserve"> </w:t>
      </w:r>
      <w:r>
        <w:t xml:space="preserve">cluster rather than county by county, so about 60% of metro counties share an exact price with another county in</w:t>
      </w:r>
      <w:r>
        <w:t xml:space="preserve"> </w:t>
      </w:r>
      <w:r>
        <w:t xml:space="preserve">their state. The textbook standard error</w:t>
      </w:r>
      <w:r>
        <w:t xml:space="preserve"> </w:t>
      </w:r>
      <m:oMath>
        <m:r>
          <m:t>s</m:t>
        </m:r>
        <m:r>
          <m:t>/</m:t>
        </m:r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assumes 1,013 independent observations. The effective amount</w:t>
      </w:r>
      <w:r>
        <w:t xml:space="preserve"> </w:t>
      </w:r>
      <w:r>
        <w:t xml:space="preserve">of information is closer to the 45 states. Allowing for correlation within states (state-clustered standard errors,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−</m:t>
        </m:r>
        <m:r>
          <m:t>1</m:t>
        </m:r>
      </m:oMath>
      <w:r>
        <w:t xml:space="preserve"> </w:t>
      </w:r>
      <w:r>
        <w:t xml:space="preserve">df) makes the standard error about 4.3 times larger: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FootnoteText"/>
              <w:jc w:val="left"/>
            </w:pPr>
            <w:r>
              <w:t xml:space="preserve">State-clustered test of the 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FootnoteText"/>
              <w:jc w:val="left"/>
            </w:pPr>
            <w:r>
              <w:t xml:space="preserve">2022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FootnoteText"/>
              <w:jc w:val="left"/>
            </w:pPr>
            <w:r>
              <w:t xml:space="preserve">2015</w:t>
            </w:r>
          </w:p>
        </w:tc>
      </w:tr>
      <w:tr>
        <w:tc>
          <w:p>
            <w:pPr>
              <w:pStyle w:val="FootnoteText"/>
              <w:jc w:val="left"/>
            </w:pPr>
            <w:r>
              <w:t xml:space="preserve">States (clusters)</w:t>
            </w:r>
            <w:r>
              <w:t xml:space="preserve"> </w:t>
            </w:r>
            <m:oMath>
              <m:r>
                <m:t>G</m:t>
              </m:r>
            </m:oMath>
          </w:p>
        </w:tc>
        <w:tc>
          <w:p>
            <w:pPr>
              <w:pStyle w:val="FootnoteText"/>
              <w:jc w:val="left"/>
            </w:pPr>
            <w:r>
              <w:t xml:space="preserve">45</w:t>
            </w:r>
          </w:p>
        </w:tc>
        <w:tc>
          <w:p>
            <w:pPr>
              <w:pStyle w:val="FootnoteText"/>
              <w:jc w:val="left"/>
            </w:pPr>
            <w:r>
              <w:t xml:space="preserve">43</w:t>
            </w:r>
          </w:p>
        </w:tc>
      </w:tr>
      <w:tr>
        <w:tc>
          <w:p>
            <w:pPr>
              <w:pStyle w:val="FootnoteText"/>
              <w:jc w:val="left"/>
            </w:pPr>
            <w:r>
              <w:t xml:space="preserve">Clustered SE (vs. textbook SE)</w:t>
            </w:r>
          </w:p>
        </w:tc>
        <w:tc>
          <w:p>
            <w:pPr>
              <w:pStyle w:val="FootnoteText"/>
              <w:jc w:val="left"/>
            </w:pPr>
            <w:r>
              <w:t xml:space="preserve">8.16 (vs. 1.88)</w:t>
            </w:r>
          </w:p>
        </w:tc>
        <w:tc>
          <w:p>
            <w:pPr>
              <w:pStyle w:val="FootnoteText"/>
              <w:jc w:val="left"/>
            </w:pPr>
            <w:r>
              <w:t xml:space="preserve">6.10 (vs. 1.43)</w:t>
            </w:r>
          </w:p>
        </w:tc>
      </w:tr>
      <w:tr>
        <w:tc>
          <w:p>
            <w:pPr>
              <w:pStyle w:val="FootnoteText"/>
              <w:jc w:val="lef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(df</w:t>
            </w:r>
            <w:r>
              <w:t xml:space="preserve"> </w:t>
            </w:r>
            <m:oMath>
              <m:r>
                <m:t>=</m:t>
              </m:r>
              <m:r>
                <m:t>G</m:t>
              </m:r>
              <m:r>
                <m:t>−</m:t>
              </m:r>
              <m:r>
                <m:t>1</m:t>
              </m:r>
            </m:oMath>
            <w:r>
              <w:t xml:space="preserve">)</w:t>
            </w:r>
          </w:p>
        </w:tc>
        <w:tc>
          <w:p>
            <w:pPr>
              <w:pStyle w:val="FootnoteText"/>
              <w:jc w:val="left"/>
            </w:pPr>
            <w:r>
              <w:t xml:space="preserve">1.48 (44)</w:t>
            </w:r>
          </w:p>
        </w:tc>
        <w:tc>
          <w:p>
            <w:pPr>
              <w:pStyle w:val="FootnoteText"/>
              <w:jc w:val="left"/>
            </w:pPr>
            <w:r>
              <w:t xml:space="preserve">5.45 (42)</w:t>
            </w:r>
          </w:p>
        </w:tc>
      </w:tr>
      <w:tr>
        <w:tc>
          <w:p>
            <w:pPr>
              <w:pStyle w:val="FootnoteText"/>
              <w:jc w:val="left"/>
            </w:pPr>
            <w:r>
              <w:t xml:space="preserve">p-value</w:t>
            </w:r>
          </w:p>
        </w:tc>
        <w:tc>
          <w:p>
            <w:pPr>
              <w:pStyle w:val="FootnoteText"/>
              <w:jc w:val="left"/>
            </w:pPr>
            <w:r>
              <w:t xml:space="preserve">0.15</w:t>
            </w:r>
          </w:p>
        </w:tc>
        <w:tc>
          <w:p>
            <w:pPr>
              <w:pStyle w:val="FootnoteText"/>
              <w:jc w:val="left"/>
            </w:pPr>
            <m:oMath>
              <m:r>
                <m:t>2.4</m:t>
              </m:r>
              <m:r>
                <m:t>×</m:t>
              </m:r>
              <m:sSup>
                <m:e>
                  <m:r>
                    <m:t>10</m:t>
                  </m:r>
                </m:e>
                <m:sup>
                  <m: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p>
            <w:pPr>
              <w:pStyle w:val="FootnoteText"/>
              <w:jc w:val="left"/>
            </w:pPr>
            <w:r>
              <w:t xml:space="preserve">95% CI for the mean (weekly)</w:t>
            </w:r>
          </w:p>
        </w:tc>
        <w:tc>
          <w:p>
            <w:pPr>
              <w:pStyle w:val="FootnoteText"/>
              <w:jc w:val="left"/>
            </w:pPr>
            <w:r>
              <w:t xml:space="preserve">[$158.64, $191.54]</w:t>
            </w:r>
          </w:p>
        </w:tc>
        <w:tc>
          <w:p>
            <w:pPr>
              <w:pStyle w:val="FootnoteText"/>
              <w:jc w:val="left"/>
            </w:pPr>
            <w:r>
              <w:t xml:space="preserve">[$130.20, $154.82]</w:t>
            </w:r>
          </w:p>
        </w:tc>
      </w:tr>
    </w:tbl>
    <w:p>
      <w:pPr>
        <w:pStyle w:val="FootnoteText"/>
      </w:pPr>
      <w:r>
        <w:t xml:space="preserve">With clustered errors the 2022 interval</w:t>
      </w:r>
      <w:r>
        <w:t xml:space="preserve"> </w:t>
      </w:r>
      <w:r>
        <w:rPr>
          <w:b/>
        </w:rPr>
        <w:t xml:space="preserve">contains the voucher ($163.05), so we would no longer reject in</w:t>
      </w:r>
      <w:r>
        <w:rPr>
          <w:b/>
        </w:rPr>
        <w:t xml:space="preserve"> </w:t>
      </w:r>
      <w:r>
        <w:rPr>
          <w:b/>
        </w:rPr>
        <w:t xml:space="preserve">2022</w:t>
      </w:r>
      <w:r>
        <w:t xml:space="preserve">. The 2015 rejection is robust. Our main answer uses the textbook test the assignment asks for; this</w:t>
      </w:r>
      <w:r>
        <w:t xml:space="preserve"> </w:t>
      </w:r>
      <w:r>
        <w:t xml:space="preserve">caveat means the 2022 rejection is less certain than the textbook p-value suggests.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1F1F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1F1F1F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F1F1F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F1F1F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F1F1F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F1F1F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F1F1F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40" w:line="240" w:lineRule="auto"/>
    </w:pPr>
    <w:rPr>
      <w:color w:val="595959"/>
      <w:sz w:val="17"/>
      <w:szCs w:val="17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8" w:space="0" w:color="52514E"/>
        <w:bottom w:val="single" w:sz="8" w:space="0" w:color="52514E"/>
        <w:insideH w:val="single" w:sz="4" w:space="0" w:color="D9D8D4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1F1F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F1F1F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32" Target="media/rId32.png" /><Relationship Type="http://schemas.openxmlformats.org/officeDocument/2006/relationships/hyperlink" Id="rId20" Target="https://github.com/ignaciosanur/mgt403-childcare-project-green-cohort-7b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s://github.com/ignaciosanur/mgt403-childcare-project-green-cohort-7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MGT 403 — Problem Set 4, Question 2: The Distribution of Childcare Prices</dc:title>
  <dc:creator/>
  <cp:keywords/>
  <dcterms:created xsi:type="dcterms:W3CDTF">2026-09-30T21:33:02Z</dcterms:created>
  <dcterms:modified xsi:type="dcterms:W3CDTF">2026-09-30T21:33:02Z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Team: Ignacio Sanchez Urdaneta · Beck Jamilov · Claudia Palacios Surco · Gary Chen</vt:lpwstr>
  </property>
</Properties>
</file>