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4.png" ContentType="image/png"/>
  <Override PartName="/word/media/rId24.png" ContentType="image/png"/>
  <Override PartName="/word/media/rId28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MGT</w:t>
      </w:r>
      <w:r>
        <w:t xml:space="preserve"> </w:t>
      </w:r>
      <w:r>
        <w:t xml:space="preserve">403</w:t>
      </w:r>
      <w:r>
        <w:t xml:space="preserve"> </w:t>
      </w:r>
      <w:r>
        <w:t xml:space="preserve">—</w:t>
      </w:r>
      <w:r>
        <w:t xml:space="preserve"> </w:t>
      </w:r>
      <w:r>
        <w:t xml:space="preserve">Final</w:t>
      </w:r>
      <w:r>
        <w:t xml:space="preserve"> </w:t>
      </w:r>
      <w:r>
        <w:t xml:space="preserve">Project:</w:t>
      </w:r>
      <w:r>
        <w:t xml:space="preserve"> </w:t>
      </w:r>
      <w:r>
        <w:t xml:space="preserve">Where</w:t>
      </w:r>
      <w:r>
        <w:t xml:space="preserve"> </w:t>
      </w:r>
      <w:r>
        <w:t xml:space="preserve">Should</w:t>
      </w:r>
      <w:r>
        <w:t xml:space="preserve"> </w:t>
      </w:r>
      <w:r>
        <w:t xml:space="preserve">We</w:t>
      </w:r>
      <w:r>
        <w:t xml:space="preserve"> </w:t>
      </w:r>
      <w:r>
        <w:t xml:space="preserve">Open</w:t>
      </w:r>
      <w:r>
        <w:t xml:space="preserve"> </w:t>
      </w:r>
      <w:r>
        <w:t xml:space="preserve">Our</w:t>
      </w:r>
      <w:r>
        <w:t xml:space="preserve"> </w:t>
      </w:r>
      <w:r>
        <w:t xml:space="preserve">Next</w:t>
      </w:r>
      <w:r>
        <w:t xml:space="preserve"> </w:t>
      </w:r>
      <w:r>
        <w:t xml:space="preserve">Center-Based</w:t>
      </w:r>
      <w:r>
        <w:t xml:space="preserve"> </w:t>
      </w:r>
      <w:r>
        <w:t xml:space="preserve">Preschools?</w:t>
      </w:r>
    </w:p>
    <w:p>
      <w:pPr>
        <w:pStyle w:val="Subtitle"/>
      </w:pPr>
      <w:r>
        <w:t xml:space="preserve">Team:</w:t>
      </w:r>
      <w:r>
        <w:t xml:space="preserve"> </w:t>
      </w:r>
      <w:r>
        <w:t xml:space="preserve">Ignacio</w:t>
      </w:r>
      <w:r>
        <w:t xml:space="preserve"> </w:t>
      </w:r>
      <w:r>
        <w:t xml:space="preserve">Sanchez</w:t>
      </w:r>
      <w:r>
        <w:t xml:space="preserve"> </w:t>
      </w:r>
      <w:r>
        <w:t xml:space="preserve">Urdaneta</w:t>
      </w:r>
      <w:r>
        <w:t xml:space="preserve"> </w:t>
      </w:r>
      <w:r>
        <w:t xml:space="preserve">·</w:t>
      </w:r>
      <w:r>
        <w:t xml:space="preserve"> </w:t>
      </w:r>
      <w:r>
        <w:t xml:space="preserve">Beck</w:t>
      </w:r>
      <w:r>
        <w:t xml:space="preserve"> </w:t>
      </w:r>
      <w:r>
        <w:t xml:space="preserve">Jamilov</w:t>
      </w:r>
      <w:r>
        <w:t xml:space="preserve"> </w:t>
      </w:r>
      <w:r>
        <w:t xml:space="preserve">·</w:t>
      </w:r>
      <w:r>
        <w:t xml:space="preserve"> </w:t>
      </w:r>
      <w:r>
        <w:t xml:space="preserve">Claudia</w:t>
      </w:r>
      <w:r>
        <w:t xml:space="preserve"> </w:t>
      </w:r>
      <w:r>
        <w:t xml:space="preserve">Palacios</w:t>
      </w:r>
      <w:r>
        <w:t xml:space="preserve"> </w:t>
      </w:r>
      <w:r>
        <w:t xml:space="preserve">Surco</w:t>
      </w:r>
      <w:r>
        <w:t xml:space="preserve"> </w:t>
      </w:r>
      <w:r>
        <w:t xml:space="preserve">·</w:t>
      </w:r>
      <w:r>
        <w:t xml:space="preserve"> </w:t>
      </w:r>
      <w:r>
        <w:t xml:space="preserve">Gary</w:t>
      </w:r>
      <w:r>
        <w:t xml:space="preserve"> </w:t>
      </w:r>
      <w:r>
        <w:t xml:space="preserve">Chen</w:t>
      </w:r>
    </w:p>
    <w:p>
      <w:pPr>
        <w:pStyle w:val="FirstParagraph"/>
      </w:pPr>
      <w:r>
        <w:rPr>
          <w:b/>
        </w:rPr>
        <w:t xml:space="preserve">Purpose of this document.</w:t>
      </w:r>
      <w:r>
        <w:t xml:space="preserve"> </w:t>
      </w:r>
      <w:r>
        <w:t xml:space="preserve">This is the analysis behind our final presentation (slides to follow): the</w:t>
      </w:r>
      <w:r>
        <w:t xml:space="preserve"> </w:t>
      </w:r>
      <w:r>
        <w:t xml:space="preserve">pre-analysis of prices and costs, the county recommendation with its methodology and reliability checks, and an</w:t>
      </w:r>
      <w:r>
        <w:t xml:space="preserve"> </w:t>
      </w:r>
      <w:r>
        <w:t xml:space="preserve">appendix of data-handling decisions. All code, data and the prompt history are in the project repository,</w:t>
      </w:r>
      <w:r>
        <w:t xml:space="preserve"> </w:t>
      </w:r>
      <w:hyperlink r:id="rId20">
        <w:r>
          <w:rPr>
            <w:rStyle w:val="Hyperlink"/>
          </w:rPr>
          <w:t xml:space="preserve">https://github.com/ignaciosanur/mgt403-childcare-project-green-cohort-7b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final_analysis.py</w:t>
      </w:r>
      <w:r>
        <w:t xml:space="preserve">).</w:t>
      </w:r>
    </w:p>
    <w:p>
      <w:pPr>
        <w:pStyle w:val="BodyText"/>
      </w:pPr>
      <w:r>
        <w:rPr>
          <w:b/>
        </w:rPr>
        <w:t xml:space="preserve">Data.</w:t>
      </w:r>
      <w:r>
        <w:t xml:space="preserve"> </w:t>
      </w:r>
      <w:r>
        <w:t xml:space="preserve">Metro counties only (counties in an OEWS metropolitan area,</w:t>
      </w:r>
      <w:r>
        <w:t xml:space="preserve"> </w:t>
      </w:r>
      <w:r>
        <w:rPr>
          <w:rStyle w:val="VerbatimChar"/>
        </w:rPr>
        <w:t xml:space="preserve">oews_area</w:t>
      </w:r>
      <w:r>
        <w:t xml:space="preserve"> </w:t>
      </w:r>
      <w:r>
        <w:t xml:space="preserve">begins with</w:t>
      </w:r>
      <w:r>
        <w:t xml:space="preserve"> </w:t>
      </w:r>
      <w:r>
        <w:rPr>
          <w:rStyle w:val="VerbatimChar"/>
        </w:rPr>
        <w:t xml:space="preserve">00</w:t>
      </w:r>
      <w:r>
        <w:t xml:space="preserve">), 2015–2022.</w:t>
      </w:r>
      <w:r>
        <w:t xml:space="preserve"> </w:t>
      </w:r>
      <w:r>
        <w:rPr>
          <w:i/>
        </w:rPr>
        <w:t xml:space="preserve">Price:</w:t>
      </w:r>
      <w:r>
        <w:t xml:space="preserve"> </w:t>
      </w:r>
      <w:r>
        <w:t xml:space="preserve">NDCP median weekly full-time price of</w:t>
      </w:r>
      <w:r>
        <w:t xml:space="preserve"> </w:t>
      </w:r>
      <w:r>
        <w:rPr>
          <w:b/>
        </w:rPr>
        <w:t xml:space="preserve">center-based preschool care (36–54 months)</w:t>
      </w:r>
      <w:r>
        <w:t xml:space="preserve">.</w:t>
      </w:r>
      <w:r>
        <w:t xml:space="preserve"> </w:t>
      </w:r>
      <w:r>
        <w:rPr>
          <w:i/>
        </w:rPr>
        <w:t xml:space="preserve">Costs:</w:t>
      </w:r>
      <w:r>
        <w:t xml:space="preserve"> </w:t>
      </w:r>
      <w:r>
        <w:t xml:space="preserve">BLS OEWS mean</w:t>
      </w:r>
      <w:r>
        <w:t xml:space="preserve"> </w:t>
      </w:r>
      <w:r>
        <w:t xml:space="preserve">annual wage of childcare workers (SOC 39-9011), which is published per metro area, and ACS median gross rent per</w:t>
      </w:r>
      <w:r>
        <w:t xml:space="preserve"> </w:t>
      </w:r>
      <w:r>
        <w:t xml:space="preserve">county.</w:t>
      </w:r>
      <w:r>
        <w:t xml:space="preserve"> </w:t>
      </w:r>
      <w:r>
        <w:rPr>
          <w:i/>
        </w:rPr>
        <w:t xml:space="preserve">Demand:</w:t>
      </w:r>
      <w:r>
        <w:t xml:space="preserve"> </w:t>
      </w:r>
      <w:r>
        <w:t xml:space="preserve">ACS 5-year county covariates. All dollar values are in constant 2022 dollars (CPI-U). The county is</w:t>
      </w:r>
      <w:r>
        <w:t xml:space="preserve"> </w:t>
      </w:r>
      <w:r>
        <w:t xml:space="preserve">the unit of analysis throughout.</w:t>
      </w:r>
    </w:p>
    <w:bookmarkStart w:id="21" w:name="summary-our-top-10"/>
    <w:p>
      <w:pPr>
        <w:pStyle w:val="Heading1"/>
      </w:pPr>
      <w:r>
        <w:t xml:space="preserve">Summary: our top 10</w:t>
      </w:r>
    </w:p>
    <w:p>
      <w:pPr>
        <w:pStyle w:val="FirstParagraph"/>
      </w:pPr>
      <w:r>
        <w:t xml:space="preserve">We define an attractive market as a county where preschool prices are</w:t>
      </w:r>
      <w:r>
        <w:t xml:space="preserve"> </w:t>
      </w:r>
      <w:r>
        <w:rPr>
          <w:b/>
        </w:rPr>
        <w:t xml:space="preserve">high relative to what labor and rent costs</w:t>
      </w:r>
      <w:r>
        <w:rPr>
          <w:b/>
        </w:rPr>
        <w:t xml:space="preserve"> </w:t>
      </w:r>
      <w:r>
        <w:rPr>
          <w:b/>
        </w:rPr>
        <w:t xml:space="preserve">predict</w:t>
      </w:r>
      <w:r>
        <w:t xml:space="preserve">. We estimate a cost model of prices on childcare wages and rent, measure each county’s</w:t>
      </w:r>
      <w:r>
        <w:t xml:space="preserve"> </w:t>
      </w:r>
      <w:r>
        <w:rPr>
          <w:b/>
        </w:rPr>
        <w:t xml:space="preserve">premium</w:t>
      </w:r>
      <w:r>
        <w:t xml:space="preserve"> </w:t>
      </w:r>
      <w:r>
        <w:t xml:space="preserve">(actual</w:t>
      </w:r>
      <w:r>
        <w:t xml:space="preserve"> </w:t>
      </w:r>
      <w:r>
        <w:t xml:space="preserve">price minus cost-predicted price), keep counties with a large enough market and a premium that has been positive</w:t>
      </w:r>
      <w:r>
        <w:t xml:space="preserve"> </w:t>
      </w:r>
      <w:r>
        <w:t xml:space="preserve">since 2019, and rank them by their 2022 premium.</w:t>
      </w:r>
    </w:p>
    <w:tbl>
      <w:tblPr>
        <w:tblStyle w:val="Table"/>
        <w:tblW w:type="pct" w:w="4999.999999999999"/>
        <w:tblLook w:firstRow="1" w:lastRow="0" w:firstColumn="0" w:lastColumn="0" w:noHBand="0" w:noVBand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Metro 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 ($/wk)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Cost-predicted ($/wk)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Premium ($/wk)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Arlington County, VA</w:t>
            </w:r>
          </w:p>
        </w:tc>
        <w:tc>
          <w:p>
            <w:pPr>
              <w:pStyle w:val="Compact"/>
              <w:jc w:val="left"/>
            </w:pPr>
            <w:r>
              <w:t xml:space="preserve">Washington-Arlington-Alexandria</w:t>
            </w:r>
          </w:p>
        </w:tc>
        <w:tc>
          <w:p>
            <w:pPr>
              <w:pStyle w:val="Compact"/>
              <w:jc w:val="left"/>
            </w:pPr>
            <w:r>
              <w:t xml:space="preserve">496</w:t>
            </w:r>
          </w:p>
        </w:tc>
        <w:tc>
          <w:p>
            <w:pPr>
              <w:pStyle w:val="Compact"/>
              <w:jc w:val="left"/>
            </w:pPr>
            <w:r>
              <w:t xml:space="preserve">296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+201</w:t>
            </w:r>
            <w:r>
              <w:t xml:space="preserve"> </w:t>
            </w:r>
            <w:r>
              <w:t xml:space="preserve">(+68%)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Stearns County, MN</w:t>
            </w:r>
          </w:p>
        </w:tc>
        <w:tc>
          <w:p>
            <w:pPr>
              <w:pStyle w:val="Compact"/>
              <w:jc w:val="left"/>
            </w:pPr>
            <w:r>
              <w:t xml:space="preserve">St. Cloud</w:t>
            </w:r>
          </w:p>
        </w:tc>
        <w:tc>
          <w:p>
            <w:pPr>
              <w:pStyle w:val="Compact"/>
              <w:jc w:val="left"/>
            </w:pPr>
            <w:r>
              <w:t xml:space="preserve">337</w:t>
            </w:r>
          </w:p>
        </w:tc>
        <w:tc>
          <w:p>
            <w:pPr>
              <w:pStyle w:val="Compact"/>
              <w:jc w:val="left"/>
            </w:pPr>
            <w:r>
              <w:t xml:space="preserve">167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+170</w:t>
            </w:r>
            <w:r>
              <w:t xml:space="preserve"> </w:t>
            </w:r>
            <w:r>
              <w:t xml:space="preserve">(+102%)</w:t>
            </w:r>
          </w:p>
        </w:tc>
        <w:tc>
          <w:p>
            <w:pPr>
              <w:pStyle w:val="Compact"/>
              <w:jc w:val="left"/>
            </w:pPr>
            <w:r>
              <w:t xml:space="preserve">Verify: price trend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Alexandria city, VA</w:t>
            </w:r>
          </w:p>
        </w:tc>
        <w:tc>
          <w:p>
            <w:pPr>
              <w:pStyle w:val="Compact"/>
              <w:jc w:val="left"/>
            </w:pPr>
            <w:r>
              <w:t xml:space="preserve">Washington-Arlington-Alexandria</w:t>
            </w:r>
          </w:p>
        </w:tc>
        <w:tc>
          <w:p>
            <w:pPr>
              <w:pStyle w:val="Compact"/>
              <w:jc w:val="left"/>
            </w:pPr>
            <w:r>
              <w:t xml:space="preserve">424</w:t>
            </w:r>
          </w:p>
        </w:tc>
        <w:tc>
          <w:p>
            <w:pPr>
              <w:pStyle w:val="Compact"/>
              <w:jc w:val="left"/>
            </w:pPr>
            <w:r>
              <w:t xml:space="preserve">281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+143</w:t>
            </w:r>
            <w:r>
              <w:t xml:space="preserve"> </w:t>
            </w:r>
            <w:r>
              <w:t xml:space="preserve">(+51%)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San Francisco County, CA</w:t>
            </w:r>
          </w:p>
        </w:tc>
        <w:tc>
          <w:p>
            <w:pPr>
              <w:pStyle w:val="Compact"/>
              <w:jc w:val="left"/>
            </w:pPr>
            <w:r>
              <w:t xml:space="preserve">San Francisco-Oakland-Hayward</w:t>
            </w:r>
          </w:p>
        </w:tc>
        <w:tc>
          <w:p>
            <w:pPr>
              <w:pStyle w:val="Compact"/>
              <w:jc w:val="left"/>
            </w:pPr>
            <w:r>
              <w:t xml:space="preserve">477</w:t>
            </w:r>
          </w:p>
        </w:tc>
        <w:tc>
          <w:p>
            <w:pPr>
              <w:pStyle w:val="Compact"/>
              <w:jc w:val="left"/>
            </w:pPr>
            <w:r>
              <w:t xml:space="preserve">334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+143</w:t>
            </w:r>
            <w:r>
              <w:t xml:space="preserve"> </w:t>
            </w:r>
            <w:r>
              <w:t xml:space="preserve">(+43%)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Winnebago County, WI</w:t>
            </w:r>
          </w:p>
        </w:tc>
        <w:tc>
          <w:p>
            <w:pPr>
              <w:pStyle w:val="Compact"/>
              <w:jc w:val="left"/>
            </w:pPr>
            <w:r>
              <w:t xml:space="preserve">Oshkosh-Neenah</w:t>
            </w:r>
          </w:p>
        </w:tc>
        <w:tc>
          <w:p>
            <w:pPr>
              <w:pStyle w:val="Compact"/>
              <w:jc w:val="left"/>
            </w:pPr>
            <w:r>
              <w:t xml:space="preserve">259</w:t>
            </w:r>
          </w:p>
        </w:tc>
        <w:tc>
          <w:p>
            <w:pPr>
              <w:pStyle w:val="Compact"/>
              <w:jc w:val="left"/>
            </w:pPr>
            <w:r>
              <w:t xml:space="preserve">133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+126</w:t>
            </w:r>
            <w:r>
              <w:t xml:space="preserve"> </w:t>
            </w:r>
            <w:r>
              <w:t xml:space="preserve">(+95%)</w:t>
            </w:r>
          </w:p>
        </w:tc>
        <w:tc>
          <w:p>
            <w:pPr>
              <w:pStyle w:val="Compact"/>
              <w:jc w:val="left"/>
            </w:pPr>
            <w:r>
              <w:t xml:space="preserve">Verify: regional price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Olmsted County, MN</w:t>
            </w:r>
          </w:p>
        </w:tc>
        <w:tc>
          <w:p>
            <w:pPr>
              <w:pStyle w:val="Compact"/>
              <w:jc w:val="left"/>
            </w:pPr>
            <w:r>
              <w:t xml:space="preserve">Rochester</w:t>
            </w:r>
          </w:p>
        </w:tc>
        <w:tc>
          <w:p>
            <w:pPr>
              <w:pStyle w:val="Compact"/>
              <w:jc w:val="left"/>
            </w:pPr>
            <w:r>
              <w:t xml:space="preserve">309</w:t>
            </w:r>
          </w:p>
        </w:tc>
        <w:tc>
          <w:p>
            <w:pPr>
              <w:pStyle w:val="Compact"/>
              <w:jc w:val="left"/>
            </w:pPr>
            <w:r>
              <w:t xml:space="preserve">189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+120</w:t>
            </w:r>
            <w:r>
              <w:t xml:space="preserve"> </w:t>
            </w:r>
            <w:r>
              <w:t xml:space="preserve">(+63%)</w:t>
            </w:r>
          </w:p>
        </w:tc>
        <w:tc>
          <w:p>
            <w:pPr>
              <w:pStyle w:val="Compact"/>
              <w:jc w:val="left"/>
            </w:pPr>
            <w:r>
              <w:t xml:space="preserve">Verify: regional price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La Crosse County, WI</w:t>
            </w:r>
          </w:p>
        </w:tc>
        <w:tc>
          <w:p>
            <w:pPr>
              <w:pStyle w:val="Compact"/>
              <w:jc w:val="left"/>
            </w:pPr>
            <w:r>
              <w:t xml:space="preserve">La Crosse-Onalaska</w:t>
            </w:r>
          </w:p>
        </w:tc>
        <w:tc>
          <w:p>
            <w:pPr>
              <w:pStyle w:val="Compact"/>
              <w:jc w:val="left"/>
            </w:pPr>
            <w:r>
              <w:t xml:space="preserve">259</w:t>
            </w:r>
          </w:p>
        </w:tc>
        <w:tc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+119</w:t>
            </w:r>
            <w:r>
              <w:t xml:space="preserve"> </w:t>
            </w:r>
            <w:r>
              <w:t xml:space="preserve">(+85%)</w:t>
            </w:r>
          </w:p>
        </w:tc>
        <w:tc>
          <w:p>
            <w:pPr>
              <w:pStyle w:val="Compact"/>
              <w:jc w:val="left"/>
            </w:pPr>
            <w:r>
              <w:t xml:space="preserve">Verify: regional price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Norfolk County, MA</w:t>
            </w:r>
          </w:p>
        </w:tc>
        <w:tc>
          <w:p>
            <w:pPr>
              <w:pStyle w:val="Compact"/>
              <w:jc w:val="left"/>
            </w:pPr>
            <w:r>
              <w:t xml:space="preserve">Boston-Cambridge-Nashua</w:t>
            </w:r>
          </w:p>
        </w:tc>
        <w:tc>
          <w:p>
            <w:pPr>
              <w:pStyle w:val="Compact"/>
              <w:jc w:val="left"/>
            </w:pPr>
            <w:r>
              <w:t xml:space="preserve">420</w:t>
            </w:r>
          </w:p>
        </w:tc>
        <w:tc>
          <w:p>
            <w:pPr>
              <w:pStyle w:val="Compact"/>
              <w:jc w:val="left"/>
            </w:pPr>
            <w:r>
              <w:t xml:space="preserve">304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+116</w:t>
            </w:r>
            <w:r>
              <w:t xml:space="preserve"> </w:t>
            </w:r>
            <w:r>
              <w:t xml:space="preserve">(+38%)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McLean County, IL</w:t>
            </w:r>
          </w:p>
        </w:tc>
        <w:tc>
          <w:p>
            <w:pPr>
              <w:pStyle w:val="Compact"/>
              <w:jc w:val="left"/>
            </w:pPr>
            <w:r>
              <w:t xml:space="preserve">Bloomington</w:t>
            </w:r>
          </w:p>
        </w:tc>
        <w:tc>
          <w:p>
            <w:pPr>
              <w:pStyle w:val="Compact"/>
              <w:jc w:val="left"/>
            </w:pPr>
            <w:r>
              <w:t xml:space="preserve">279</w:t>
            </w:r>
          </w:p>
        </w:tc>
        <w:tc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+111</w:t>
            </w:r>
            <w:r>
              <w:t xml:space="preserve"> </w:t>
            </w:r>
            <w:r>
              <w:t xml:space="preserve">(+66%)</w:t>
            </w:r>
          </w:p>
        </w:tc>
        <w:tc>
          <w:p>
            <w:pPr>
              <w:pStyle w:val="Compact"/>
              <w:jc w:val="left"/>
            </w:pPr>
            <w:r>
              <w:t xml:space="preserve">Verify: price trend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Brown County, WI</w:t>
            </w:r>
          </w:p>
        </w:tc>
        <w:tc>
          <w:p>
            <w:pPr>
              <w:pStyle w:val="Compact"/>
              <w:jc w:val="left"/>
            </w:pPr>
            <w:r>
              <w:t xml:space="preserve">Green Bay</w:t>
            </w:r>
          </w:p>
        </w:tc>
        <w:tc>
          <w:p>
            <w:pPr>
              <w:pStyle w:val="Compact"/>
              <w:jc w:val="left"/>
            </w:pPr>
            <w:r>
              <w:t xml:space="preserve">259</w:t>
            </w:r>
          </w:p>
        </w:tc>
        <w:tc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+100</w:t>
            </w:r>
            <w:r>
              <w:t xml:space="preserve"> </w:t>
            </w:r>
            <w:r>
              <w:t xml:space="preserve">(+63%)</w:t>
            </w:r>
          </w:p>
        </w:tc>
        <w:tc>
          <w:p>
            <w:pPr>
              <w:pStyle w:val="Compact"/>
              <w:jc w:val="left"/>
            </w:pPr>
            <w:r>
              <w:t xml:space="preserve">Verify: regional price</w:t>
            </w:r>
          </w:p>
        </w:tc>
      </w:tr>
    </w:tbl>
    <w:p>
      <w:pPr>
        <w:pStyle w:val="BodyText"/>
      </w:pPr>
      <w:r>
        <w:t xml:space="preserve">The top 10 charge on average $352 a week against a cost prediction of $217, a premium of about</w:t>
      </w:r>
      <w:r>
        <w:t xml:space="preserve"> </w:t>
      </w:r>
      <w:r>
        <w:rPr>
          <w:b/>
        </w:rPr>
        <w:t xml:space="preserve">$135 a week per</w:t>
      </w:r>
      <w:r>
        <w:rPr>
          <w:b/>
        </w:rPr>
        <w:t xml:space="preserve"> </w:t>
      </w:r>
      <w:r>
        <w:rPr>
          <w:b/>
        </w:rPr>
        <w:t xml:space="preserve">preschooler</w:t>
      </w:r>
      <w:r>
        <w:t xml:space="preserve">.</w:t>
      </w:r>
      <w:r>
        <w:t xml:space="preserve"> </w:t>
      </w:r>
      <w:r>
        <w:rPr>
          <w:b/>
        </w:rPr>
        <w:t xml:space="preserve">Confidence:</w:t>
      </w:r>
      <w:r>
        <w:t xml:space="preserve"> </w:t>
      </w:r>
      <w:r>
        <w:t xml:space="preserve">four picks (Arlington, Alexandria, San Francisco, Norfolk) pass every data check.</w:t>
      </w:r>
      <w:r>
        <w:t xml:space="preserve"> </w:t>
      </w:r>
      <w:r>
        <w:t xml:space="preserve">Four (the three Wisconsin counties and Olmsted, MN) report a</w:t>
      </w:r>
      <w:r>
        <w:t xml:space="preserve"> </w:t>
      </w:r>
      <w:r>
        <w:rPr>
          <w:i/>
        </w:rPr>
        <w:t xml:space="preserve">regional</w:t>
      </w:r>
      <w:r>
        <w:t xml:space="preserve"> </w:t>
      </w:r>
      <w:r>
        <w:t xml:space="preserve">price shared with 7–8 other counties in their</w:t>
      </w:r>
      <w:r>
        <w:t xml:space="preserve"> </w:t>
      </w:r>
      <w:r>
        <w:t xml:space="preserve">state. Two (Stearns, MN and McLean, IL) rest on a 2018–2022 price rise above the 99th percentile of metro counties</w:t>
      </w:r>
      <w:r>
        <w:t xml:space="preserve"> </w:t>
      </w:r>
      <w:r>
        <w:t xml:space="preserve">(+77% and +59% vs. a median of +11%), which NDCP partly extends by straight-line interpolation between surveys.</w:t>
      </w:r>
      <w:r>
        <w:t xml:space="preserve"> </w:t>
      </w:r>
      <w:r>
        <w:t xml:space="preserve">These six should be confirmed with local price data; section (b) gives a fully high-confidence alternative list.</w:t>
      </w:r>
    </w:p>
    <w:bookmarkEnd w:id="21"/>
    <w:bookmarkStart w:id="27" w:name="part-a.-pre-analysis-prices-and-costs"/>
    <w:p>
      <w:pPr>
        <w:pStyle w:val="Heading1"/>
      </w:pPr>
      <w:r>
        <w:t xml:space="preserve">Part A. Pre-analysis: prices and costs</w:t>
      </w:r>
    </w:p>
    <w:bookmarkStart w:id="22" w:name="a1.-analysis-dataset"/>
    <w:p>
      <w:pPr>
        <w:pStyle w:val="Heading2"/>
      </w:pPr>
      <w:r>
        <w:t xml:space="preserve">A1. Analysis dataset</w:t>
      </w:r>
    </w:p>
    <w:p>
      <w:pPr>
        <w:pStyle w:val="FirstParagraph"/>
      </w:pPr>
      <w:r>
        <w:t xml:space="preserve">We merged the NDCP prices onto the year × county cost and demand file from Problem Set 5 (on county FIPS × year).</w:t>
      </w:r>
      <w:r>
        <w:t xml:space="preserve"> </w:t>
      </w:r>
      <w:r>
        <w:t xml:space="preserve">The analysis dataset contains the</w:t>
      </w:r>
      <w:r>
        <w:t xml:space="preserve"> </w:t>
      </w:r>
      <w:r>
        <w:rPr>
          <w:b/>
        </w:rPr>
        <w:t xml:space="preserve">metro county-years with a non-missing preschool price and non-missing values</w:t>
      </w:r>
      <w:r>
        <w:rPr>
          <w:b/>
        </w:rPr>
        <w:t xml:space="preserve"> </w:t>
      </w:r>
      <w:r>
        <w:rPr>
          <w:b/>
        </w:rPr>
        <w:t xml:space="preserve">for all predictors</w:t>
      </w:r>
      <w:r>
        <w:t xml:space="preserve"> </w:t>
      </w:r>
      <w:r>
        <w:t xml:space="preserve">(childcare wage, rent, and the eight ACS variables).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Counties in the analysis dataset</w:t>
            </w:r>
          </w:p>
        </w:tc>
        <w:tc>
          <w:p>
            <w:pPr>
              <w:pStyle w:val="Compact"/>
              <w:jc w:val="left"/>
            </w:pPr>
            <w:r>
              <w:t xml:space="preserve">994</w:t>
            </w:r>
          </w:p>
        </w:tc>
        <w:tc>
          <w:p>
            <w:pPr>
              <w:pStyle w:val="Compact"/>
              <w:jc w:val="left"/>
            </w:pPr>
            <w:r>
              <w:t xml:space="preserve">1,019</w:t>
            </w:r>
          </w:p>
        </w:tc>
        <w:tc>
          <w:p>
            <w:pPr>
              <w:pStyle w:val="Compact"/>
              <w:jc w:val="left"/>
            </w:pPr>
            <w:r>
              <w:t xml:space="preserve">1,057</w:t>
            </w:r>
          </w:p>
        </w:tc>
        <w:tc>
          <w:p>
            <w:pPr>
              <w:pStyle w:val="Compact"/>
              <w:jc w:val="left"/>
            </w:pPr>
            <w:r>
              <w:t xml:space="preserve">1,062</w:t>
            </w:r>
          </w:p>
        </w:tc>
        <w:tc>
          <w:p>
            <w:pPr>
              <w:pStyle w:val="Compact"/>
              <w:jc w:val="left"/>
            </w:pPr>
            <w:r>
              <w:t xml:space="preserve">1,061</w:t>
            </w:r>
          </w:p>
        </w:tc>
        <w:tc>
          <w:p>
            <w:pPr>
              <w:pStyle w:val="Compact"/>
              <w:jc w:val="left"/>
            </w:pPr>
            <w:r>
              <w:t xml:space="preserve">1,050</w:t>
            </w:r>
          </w:p>
        </w:tc>
        <w:tc>
          <w:p>
            <w:pPr>
              <w:pStyle w:val="Compact"/>
              <w:jc w:val="left"/>
            </w:pPr>
            <w:r>
              <w:t xml:space="preserve">905</w:t>
            </w:r>
          </w:p>
        </w:tc>
        <w:tc>
          <w:p>
            <w:pPr>
              <w:pStyle w:val="Compact"/>
              <w:jc w:val="left"/>
            </w:pPr>
            <w:r>
              <w:t xml:space="preserve">998</w:t>
            </w:r>
          </w:p>
        </w:tc>
      </w:tr>
    </w:tbl>
    <w:p>
      <w:pPr>
        <w:pStyle w:val="BodyText"/>
      </w:pPr>
      <w:r>
        <w:t xml:space="preserve">In 2022, of 1,235 metro counties, 222 have no NDCP price (mainly whole states without usable price surveys:</w:t>
      </w:r>
      <w:r>
        <w:t xml:space="preserve"> </w:t>
      </w:r>
      <w:r>
        <w:t xml:space="preserve">Pennsylvania, Indiana, Missouri, New Mexico, Arkansas and Puerto Rico) and 15 have a price but a missing predictor</w:t>
      </w:r>
      <w:r>
        <w:t xml:space="preserve"> </w:t>
      </w:r>
      <w:r>
        <w:t xml:space="preserve">(no OEWS wage, or Connecticut’s 2022 ACS geography change), leaving</w:t>
      </w:r>
      <w:r>
        <w:t xml:space="preserve"> </w:t>
      </w:r>
      <w:r>
        <w:rPr>
          <w:b/>
        </w:rPr>
        <w:t xml:space="preserve">998 counties</w:t>
      </w:r>
      <w:r>
        <w:t xml:space="preserve">.</w:t>
      </w:r>
    </w:p>
    <w:bookmarkEnd w:id="22"/>
    <w:bookmarkStart w:id="23" w:name="a2.-analysis-sample-2022"/>
    <w:p>
      <w:pPr>
        <w:pStyle w:val="Heading2"/>
      </w:pPr>
      <w:r>
        <w:t xml:space="preserve">A2. Analysis sample, 2022</w:t>
      </w:r>
    </w:p>
    <w:tbl>
      <w:tblPr>
        <w:tblStyle w:val="Table"/>
        <w:tblW w:type="pct" w:w="4999.999999999999"/>
        <w:tblLook w:firstRow="1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 (metro counties, 2022)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 weekly price, center-based preschool (36–54 months)</w:t>
            </w:r>
          </w:p>
        </w:tc>
        <w:tc>
          <w:p>
            <w:pPr>
              <w:pStyle w:val="Compact"/>
              <w:jc w:val="left"/>
            </w:pPr>
            <w:r>
              <w:t xml:space="preserve">998</w:t>
            </w:r>
          </w:p>
        </w:tc>
        <w:tc>
          <w:p>
            <w:pPr>
              <w:pStyle w:val="Compact"/>
              <w:jc w:val="left"/>
            </w:pPr>
            <w:r>
              <w:t xml:space="preserve">$174.48</w:t>
            </w:r>
          </w:p>
        </w:tc>
        <w:tc>
          <w:p>
            <w:pPr>
              <w:pStyle w:val="Compact"/>
              <w:jc w:val="left"/>
            </w:pPr>
            <w:r>
              <w:t xml:space="preserve">$59.76</w:t>
            </w:r>
          </w:p>
        </w:tc>
        <w:tc>
          <w:p>
            <w:pPr>
              <w:pStyle w:val="Compact"/>
              <w:jc w:val="left"/>
            </w:pPr>
            <w:r>
              <w:t xml:space="preserve">$86.19</w:t>
            </w:r>
          </w:p>
        </w:tc>
        <w:tc>
          <w:p>
            <w:pPr>
              <w:pStyle w:val="Compact"/>
              <w:jc w:val="left"/>
            </w:pPr>
            <w:r>
              <w:t xml:space="preserve">$496.30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Childcare-worker mean annual wage</w:t>
            </w:r>
          </w:p>
        </w:tc>
        <w:tc>
          <w:p>
            <w:pPr>
              <w:pStyle w:val="Compact"/>
              <w:jc w:val="left"/>
            </w:pPr>
            <w:r>
              <w:t xml:space="preserve">998</w:t>
            </w:r>
          </w:p>
        </w:tc>
        <w:tc>
          <w:p>
            <w:pPr>
              <w:pStyle w:val="Compact"/>
              <w:jc w:val="left"/>
            </w:pPr>
            <w:r>
              <w:t xml:space="preserve">$27,780</w:t>
            </w:r>
          </w:p>
        </w:tc>
        <w:tc>
          <w:p>
            <w:pPr>
              <w:pStyle w:val="Compact"/>
              <w:jc w:val="left"/>
            </w:pPr>
            <w:r>
              <w:t xml:space="preserve">$4,351</w:t>
            </w:r>
          </w:p>
        </w:tc>
        <w:tc>
          <w:p>
            <w:pPr>
              <w:pStyle w:val="Compact"/>
              <w:jc w:val="left"/>
            </w:pPr>
            <w:r>
              <w:t xml:space="preserve">$19,540</w:t>
            </w:r>
          </w:p>
        </w:tc>
        <w:tc>
          <w:p>
            <w:pPr>
              <w:pStyle w:val="Compact"/>
              <w:jc w:val="left"/>
            </w:pPr>
            <w:r>
              <w:t xml:space="preserve">$41,700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 gross rent, per month</w:t>
            </w:r>
          </w:p>
        </w:tc>
        <w:tc>
          <w:p>
            <w:pPr>
              <w:pStyle w:val="Compact"/>
              <w:jc w:val="left"/>
            </w:pPr>
            <w:r>
              <w:t xml:space="preserve">998</w:t>
            </w:r>
          </w:p>
        </w:tc>
        <w:tc>
          <w:p>
            <w:pPr>
              <w:pStyle w:val="Compact"/>
              <w:jc w:val="left"/>
            </w:pPr>
            <w:r>
              <w:t xml:space="preserve">$1,106</w:t>
            </w:r>
          </w:p>
        </w:tc>
        <w:tc>
          <w:p>
            <w:pPr>
              <w:pStyle w:val="Compact"/>
              <w:jc w:val="left"/>
            </w:pPr>
            <w:r>
              <w:t xml:space="preserve">$336</w:t>
            </w:r>
          </w:p>
        </w:tc>
        <w:tc>
          <w:p>
            <w:pPr>
              <w:pStyle w:val="Compact"/>
              <w:jc w:val="left"/>
            </w:pPr>
            <w:r>
              <w:t xml:space="preserve">$430</w:t>
            </w:r>
          </w:p>
        </w:tc>
        <w:tc>
          <w:p>
            <w:pPr>
              <w:pStyle w:val="Compact"/>
              <w:jc w:val="left"/>
            </w:pPr>
            <w:r>
              <w:t xml:space="preserve">$2,805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Per-capita income</w:t>
            </w:r>
          </w:p>
        </w:tc>
        <w:tc>
          <w:p>
            <w:pPr>
              <w:pStyle w:val="Compact"/>
              <w:jc w:val="left"/>
            </w:pPr>
            <w:r>
              <w:t xml:space="preserve">998</w:t>
            </w:r>
          </w:p>
        </w:tc>
        <w:tc>
          <w:p>
            <w:pPr>
              <w:pStyle w:val="Compact"/>
              <w:jc w:val="left"/>
            </w:pPr>
            <w:r>
              <w:t xml:space="preserve">$37,859</w:t>
            </w:r>
          </w:p>
        </w:tc>
        <w:tc>
          <w:p>
            <w:pPr>
              <w:pStyle w:val="Compact"/>
              <w:jc w:val="left"/>
            </w:pPr>
            <w:r>
              <w:t xml:space="preserve">$9,457</w:t>
            </w:r>
          </w:p>
        </w:tc>
        <w:tc>
          <w:p>
            <w:pPr>
              <w:pStyle w:val="Compact"/>
              <w:jc w:val="left"/>
            </w:pPr>
            <w:r>
              <w:t xml:space="preserve">$16,368</w:t>
            </w:r>
          </w:p>
        </w:tc>
        <w:tc>
          <w:p>
            <w:pPr>
              <w:pStyle w:val="Compact"/>
              <w:jc w:val="left"/>
            </w:pPr>
            <w:r>
              <w:t xml:space="preserve">$89,702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population</w:t>
            </w:r>
          </w:p>
        </w:tc>
        <w:tc>
          <w:p>
            <w:pPr>
              <w:pStyle w:val="Compact"/>
              <w:jc w:val="left"/>
            </w:pPr>
            <w:r>
              <w:t xml:space="preserve">998</w:t>
            </w:r>
          </w:p>
        </w:tc>
        <w:tc>
          <w:p>
            <w:pPr>
              <w:pStyle w:val="Compact"/>
              <w:jc w:val="left"/>
            </w:pPr>
            <w:r>
              <w:t xml:space="preserve">255,803</w:t>
            </w:r>
          </w:p>
        </w:tc>
        <w:tc>
          <w:p>
            <w:pPr>
              <w:pStyle w:val="Compact"/>
              <w:jc w:val="left"/>
            </w:pPr>
            <w:r>
              <w:t xml:space="preserve">551,110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9,936,690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 children under 6</w:t>
            </w:r>
          </w:p>
        </w:tc>
        <w:tc>
          <w:p>
            <w:pPr>
              <w:pStyle w:val="Compact"/>
              <w:jc w:val="left"/>
            </w:pPr>
            <w:r>
              <w:t xml:space="preserve">998</w:t>
            </w:r>
          </w:p>
        </w:tc>
        <w:tc>
          <w:p>
            <w:pPr>
              <w:pStyle w:val="Compact"/>
              <w:jc w:val="left"/>
            </w:pPr>
            <w:r>
              <w:t xml:space="preserve">17,151</w:t>
            </w:r>
          </w:p>
        </w:tc>
        <w:tc>
          <w:p>
            <w:pPr>
              <w:pStyle w:val="Compact"/>
              <w:jc w:val="left"/>
            </w:pPr>
            <w:r>
              <w:t xml:space="preserve">37,250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616,046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Children under 6 with all parents in the labor force</w:t>
            </w:r>
          </w:p>
        </w:tc>
        <w:tc>
          <w:p>
            <w:pPr>
              <w:pStyle w:val="Compact"/>
              <w:jc w:val="left"/>
            </w:pPr>
            <w:r>
              <w:t xml:space="preserve">998</w:t>
            </w:r>
          </w:p>
        </w:tc>
        <w:tc>
          <w:p>
            <w:pPr>
              <w:pStyle w:val="Compact"/>
              <w:jc w:val="left"/>
            </w:pPr>
            <w:r>
              <w:t xml:space="preserve">11,538</w:t>
            </w:r>
          </w:p>
        </w:tc>
        <w:tc>
          <w:p>
            <w:pPr>
              <w:pStyle w:val="Compact"/>
              <w:jc w:val="left"/>
            </w:pPr>
            <w:r>
              <w:t xml:space="preserve">24,539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406,465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 of women 25+ with a bachelor’s degree or higher</w:t>
            </w:r>
          </w:p>
        </w:tc>
        <w:tc>
          <w:p>
            <w:pPr>
              <w:pStyle w:val="Compact"/>
              <w:jc w:val="left"/>
            </w:pPr>
            <w:r>
              <w:t xml:space="preserve">998</w:t>
            </w:r>
          </w:p>
        </w:tc>
        <w:tc>
          <w:p>
            <w:pPr>
              <w:pStyle w:val="Compact"/>
              <w:jc w:val="left"/>
            </w:pPr>
            <w:r>
              <w:t xml:space="preserve">30.6%</w:t>
            </w:r>
          </w:p>
        </w:tc>
        <w:tc>
          <w:p>
            <w:pPr>
              <w:pStyle w:val="Compact"/>
              <w:jc w:val="left"/>
            </w:pPr>
            <w:r>
              <w:t xml:space="preserve">11.1 pp</w:t>
            </w:r>
          </w:p>
        </w:tc>
        <w:tc>
          <w:p>
            <w:pPr>
              <w:pStyle w:val="Compact"/>
              <w:jc w:val="left"/>
            </w:pPr>
            <w:r>
              <w:t xml:space="preserve">8.1%</w:t>
            </w:r>
          </w:p>
        </w:tc>
        <w:tc>
          <w:p>
            <w:pPr>
              <w:pStyle w:val="Compact"/>
              <w:jc w:val="left"/>
            </w:pPr>
            <w:r>
              <w:t xml:space="preserve">77.6%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 of women 16–64 working full-time, year-round</w:t>
            </w:r>
          </w:p>
        </w:tc>
        <w:tc>
          <w:p>
            <w:pPr>
              <w:pStyle w:val="Compact"/>
              <w:jc w:val="left"/>
            </w:pPr>
            <w:r>
              <w:t xml:space="preserve">998</w:t>
            </w:r>
          </w:p>
        </w:tc>
        <w:tc>
          <w:p>
            <w:pPr>
              <w:pStyle w:val="Compact"/>
              <w:jc w:val="left"/>
            </w:pPr>
            <w:r>
              <w:t xml:space="preserve">44.6%</w:t>
            </w:r>
          </w:p>
        </w:tc>
        <w:tc>
          <w:p>
            <w:pPr>
              <w:pStyle w:val="Compact"/>
              <w:jc w:val="left"/>
            </w:pPr>
            <w:r>
              <w:t xml:space="preserve">5.6 pp</w:t>
            </w:r>
          </w:p>
        </w:tc>
        <w:tc>
          <w:p>
            <w:pPr>
              <w:pStyle w:val="Compact"/>
              <w:jc w:val="left"/>
            </w:pPr>
            <w:r>
              <w:t xml:space="preserve">21.2%</w:t>
            </w:r>
          </w:p>
        </w:tc>
        <w:tc>
          <w:p>
            <w:pPr>
              <w:pStyle w:val="Compact"/>
              <w:jc w:val="left"/>
            </w:pPr>
            <w:r>
              <w:t xml:space="preserve">71.4%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 of the population under 6</w:t>
            </w:r>
          </w:p>
        </w:tc>
        <w:tc>
          <w:p>
            <w:pPr>
              <w:pStyle w:val="Compact"/>
              <w:jc w:val="left"/>
            </w:pPr>
            <w:r>
              <w:t xml:space="preserve">998</w:t>
            </w:r>
          </w:p>
        </w:tc>
        <w:tc>
          <w:p>
            <w:pPr>
              <w:pStyle w:val="Compact"/>
              <w:jc w:val="left"/>
            </w:pPr>
            <w:r>
              <w:t xml:space="preserve">6.4%</w:t>
            </w:r>
          </w:p>
        </w:tc>
        <w:tc>
          <w:p>
            <w:pPr>
              <w:pStyle w:val="Compact"/>
              <w:jc w:val="left"/>
            </w:pPr>
            <w:r>
              <w:t xml:space="preserve">1.1 pp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10.9%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 of the population under 6 with all parents working</w:t>
            </w:r>
          </w:p>
        </w:tc>
        <w:tc>
          <w:p>
            <w:pPr>
              <w:pStyle w:val="Compact"/>
              <w:jc w:val="left"/>
            </w:pPr>
            <w:r>
              <w:t xml:space="preserve">998</w:t>
            </w:r>
          </w:p>
        </w:tc>
        <w:tc>
          <w:p>
            <w:pPr>
              <w:pStyle w:val="Compact"/>
              <w:jc w:val="left"/>
            </w:pPr>
            <w:r>
              <w:t xml:space="preserve">4.3%</w:t>
            </w:r>
          </w:p>
        </w:tc>
        <w:tc>
          <w:p>
            <w:pPr>
              <w:pStyle w:val="Compact"/>
              <w:jc w:val="left"/>
            </w:pPr>
            <w:r>
              <w:t xml:space="preserve">0.9 pp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7.0%</w:t>
            </w:r>
          </w:p>
        </w:tc>
      </w:tr>
    </w:tbl>
    <w:bookmarkEnd w:id="23"/>
    <w:bookmarkStart w:id="25" w:name="a3.-prices-against-wages-and-rents"/>
    <w:p>
      <w:pPr>
        <w:pStyle w:val="Heading2"/>
      </w:pPr>
      <w:r>
        <w:t xml:space="preserve">A3. Prices against wages and rents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nal_output/fig_price_vs_cos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Both costs line up strongly with prices: counties where childcare workers earn more and where rents are higher</w:t>
      </w:r>
      <w:r>
        <w:t xml:space="preserve"> </w:t>
      </w:r>
      <w:r>
        <w:t xml:space="preserve">charge more for preschool. Wages alone explain 55% of the variation in prices across counties, rent alone 46%. The</w:t>
      </w:r>
      <w:r>
        <w:t xml:space="preserve"> </w:t>
      </w:r>
      <w:r>
        <w:t xml:space="preserve">spread around each line is wide, though: at a wage of about $35,000, prices range from about $130 to almost $500 a</w:t>
      </w:r>
      <w:r>
        <w:t xml:space="preserve"> </w:t>
      </w:r>
      <w:r>
        <w:t xml:space="preserve">week. That spread is what our recommendation exploits. The vertical stripes in the wage panel appear because all</w:t>
      </w:r>
      <w:r>
        <w:t xml:space="preserve"> </w:t>
      </w:r>
      <w:r>
        <w:t xml:space="preserve">counties in a metro area share one OEWS wage.</w:t>
      </w:r>
    </w:p>
    <w:bookmarkEnd w:id="25"/>
    <w:bookmarkStart w:id="26" w:name="X86ebaa45807ae5ad75f80da481b4d08de8e4eb6"/>
    <w:p>
      <w:pPr>
        <w:pStyle w:val="Heading2"/>
      </w:pPr>
      <w:r>
        <w:t xml:space="preserve">A4. Regressions of the 2022 preschool price on wages and rent</w:t>
      </w:r>
    </w:p>
    <w:p>
      <w:pPr>
        <w:pStyle w:val="FirstParagraph"/>
      </w:pPr>
      <w:r>
        <w:t xml:space="preserve">Units: price in $ per week; wage in $1,000 per year; rent in $100 per month. Standard errors in parentheses.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(a) Wage only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(b) Rent only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(c) Wage and rent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Childcare wage ($1,000/yr)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10.15</w:t>
            </w:r>
            <w:r>
              <w:t xml:space="preserve"> </w:t>
            </w:r>
            <w:r>
              <w:t xml:space="preserve">(0.29)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7.09</w:t>
            </w:r>
            <w:r>
              <w:t xml:space="preserve"> </w:t>
            </w:r>
            <w:r>
              <w:t xml:space="preserve">(0.37)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 gross rent ($100/month)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12.05</w:t>
            </w:r>
            <w:r>
              <w:t xml:space="preserve"> </w:t>
            </w:r>
            <w:r>
              <w:t xml:space="preserve">(0.41)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5.91</w:t>
            </w:r>
            <w:r>
              <w:t xml:space="preserve"> </w:t>
            </w:r>
            <w:r>
              <w:t xml:space="preserve">(0.48)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p>
            <w:pPr>
              <w:pStyle w:val="Compact"/>
              <w:jc w:val="left"/>
            </w:pPr>
            <w:r>
              <w:t xml:space="preserve">−107.59 (8.24)</w:t>
            </w:r>
          </w:p>
        </w:tc>
        <w:tc>
          <w:p>
            <w:pPr>
              <w:pStyle w:val="Compact"/>
              <w:jc w:val="left"/>
            </w:pPr>
            <w:r>
              <w:t xml:space="preserve">41.17 (4.78)</w:t>
            </w:r>
          </w:p>
        </w:tc>
        <w:tc>
          <w:p>
            <w:pPr>
              <w:pStyle w:val="Compact"/>
              <w:jc w:val="left"/>
            </w:pPr>
            <w:r>
              <w:t xml:space="preserve">−87.95 (7.83)</w:t>
            </w:r>
          </w:p>
        </w:tc>
      </w:tr>
      <w:tr>
        <w:tc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p>
            <w:pPr>
              <w:pStyle w:val="Compact"/>
              <w:jc w:val="left"/>
            </w:pPr>
            <w:r>
              <w:t xml:space="preserve">0.547</w:t>
            </w:r>
          </w:p>
        </w:tc>
        <w:tc>
          <w:p>
            <w:pPr>
              <w:pStyle w:val="Compact"/>
              <w:jc w:val="left"/>
            </w:pPr>
            <w:r>
              <w:t xml:space="preserve">0.460</w:t>
            </w:r>
          </w:p>
        </w:tc>
        <w:tc>
          <w:p>
            <w:pPr>
              <w:pStyle w:val="Compact"/>
              <w:jc w:val="left"/>
            </w:pPr>
            <w:r>
              <w:t xml:space="preserve">0.608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 (metro counties)</w:t>
            </w:r>
          </w:p>
        </w:tc>
        <w:tc>
          <w:p>
            <w:pPr>
              <w:pStyle w:val="Compact"/>
              <w:jc w:val="left"/>
            </w:pPr>
            <w:r>
              <w:t xml:space="preserve">998</w:t>
            </w:r>
          </w:p>
        </w:tc>
        <w:tc>
          <w:p>
            <w:pPr>
              <w:pStyle w:val="Compact"/>
              <w:jc w:val="left"/>
            </w:pPr>
            <w:r>
              <w:t xml:space="preserve">998</w:t>
            </w:r>
          </w:p>
        </w:tc>
        <w:tc>
          <w:p>
            <w:pPr>
              <w:pStyle w:val="Compact"/>
              <w:jc w:val="left"/>
            </w:pPr>
            <w:r>
              <w:t xml:space="preserve">998</w:t>
            </w:r>
          </w:p>
        </w:tc>
      </w:tr>
    </w:tbl>
    <w:p>
      <w:pPr>
        <w:pStyle w:val="BodyText"/>
      </w:pPr>
      <w:r>
        <w:t xml:space="preserve">All slope coefficients are significant far beyond the 5% level (</w:t>
      </w:r>
      <m:oMath>
        <m:r>
          <m:t>t</m:t>
        </m:r>
      </m:oMath>
      <w:r>
        <w:t xml:space="preserve"> </w:t>
      </w:r>
      <w:r>
        <w:t xml:space="preserve">between 12 and 35).</w:t>
      </w:r>
    </w:p>
    <w:p>
      <w:pPr>
        <w:pStyle w:val="BodyText"/>
      </w:pPr>
      <w:r>
        <w:rPr>
          <w:b/>
        </w:rPr>
        <w:t xml:space="preserve">Interpretation.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(a) Wage only:</w:t>
      </w:r>
      <w:r>
        <w:t xml:space="preserve"> </w:t>
      </w:r>
      <w:r>
        <w:t xml:space="preserve">a county whose childcare workers earn $1,000 more a year charges, on average,</w:t>
      </w:r>
      <w:r>
        <w:t xml:space="preserve"> </w:t>
      </w:r>
      <w:r>
        <w:rPr>
          <w:b/>
        </w:rPr>
        <w:t xml:space="preserve">$10.15 more per</w:t>
      </w:r>
      <w:r>
        <w:rPr>
          <w:b/>
        </w:rPr>
        <w:t xml:space="preserve"> </w:t>
      </w:r>
      <w:r>
        <w:rPr>
          <w:b/>
        </w:rPr>
        <w:t xml:space="preserve">week</w:t>
      </w:r>
      <w:r>
        <w:t xml:space="preserve"> </w:t>
      </w:r>
      <w:r>
        <w:t xml:space="preserve">for preschool.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(b) Rent only:</w:t>
      </w:r>
      <w:r>
        <w:t xml:space="preserve"> </w:t>
      </w:r>
      <w:r>
        <w:t xml:space="preserve">a county with $100 higher monthly median rent charges, on average,</w:t>
      </w:r>
      <w:r>
        <w:t xml:space="preserve"> </w:t>
      </w:r>
      <w:r>
        <w:rPr>
          <w:b/>
        </w:rPr>
        <w:t xml:space="preserve">$12.05 more per week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(c) Both:</w:t>
      </w:r>
      <w:r>
        <w:t xml:space="preserve"> </w:t>
      </w:r>
      <w:r>
        <w:t xml:space="preserve">holding rent fixed, $1,000 more in wages goes with</w:t>
      </w:r>
      <w:r>
        <w:t xml:space="preserve"> </w:t>
      </w:r>
      <w:r>
        <w:rPr>
          <w:b/>
        </w:rPr>
        <w:t xml:space="preserve">$7.09 more per week</w:t>
      </w:r>
      <w:r>
        <w:t xml:space="preserve">; holding wages fixed, $100</w:t>
      </w:r>
      <w:r>
        <w:t xml:space="preserve"> </w:t>
      </w:r>
      <w:r>
        <w:t xml:space="preserve">more in rent goes with</w:t>
      </w:r>
      <w:r>
        <w:t xml:space="preserve"> </w:t>
      </w:r>
      <w:r>
        <w:rPr>
          <w:b/>
        </w:rPr>
        <w:t xml:space="preserve">$5.91 more per week</w:t>
      </w:r>
      <w:r>
        <w:t xml:space="preserve">. Together they explain 61% of price variation.</w:t>
      </w:r>
    </w:p>
    <w:p>
      <w:pPr>
        <w:pStyle w:val="FirstParagraph"/>
      </w:pPr>
      <w:r>
        <w:rPr>
          <w:b/>
        </w:rPr>
        <w:t xml:space="preserve">Why the coefficients fall in (c).</w:t>
      </w:r>
      <w:r>
        <w:t xml:space="preserve"> </w:t>
      </w:r>
      <w:r>
        <w:t xml:space="preserve">Wages and rents are strongly correlated across counties (</w:t>
      </w:r>
      <m:oMath>
        <m:r>
          <m:t>r</m:t>
        </m:r>
        <m:r>
          <m:t>=</m:t>
        </m:r>
        <m:r>
          <m:t>0.67</m:t>
        </m:r>
      </m:oMath>
      <w:r>
        <w:t xml:space="preserve">):</w:t>
      </w:r>
      <w:r>
        <w:t xml:space="preserve"> </w:t>
      </w:r>
      <w:r>
        <w:t xml:space="preserve">high-wage metros are also high-rent metros. A one-variable regression therefore gives each cost credit for the</w:t>
      </w:r>
      <w:r>
        <w:t xml:space="preserve"> </w:t>
      </w:r>
      <w:r>
        <w:t xml:space="preserve">other one too (omitted-variable bias). The bias can be computed exactly. Regressing rent on wages gives a slope of</w:t>
      </w:r>
      <w:r>
        <w:t xml:space="preserve"> </w:t>
      </w:r>
      <w:r>
        <w:t xml:space="preserve">0.518 (each $1,000 of wages comes with $51.8 more monthly rent), so the wage-only slope equals the multivariate</w:t>
      </w:r>
      <w:r>
        <w:t xml:space="preserve"> </w:t>
      </w:r>
      <w:r>
        <w:t xml:space="preserve">wage effect plus the rent effect it picks up: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rPr>
                  <m:nor/>
                  <m:sty m:val="p"/>
                </m:rPr>
                <m:t>wage only</m:t>
              </m:r>
            </m:sub>
          </m:sSub>
          <m:r>
            <m:t>=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rPr>
                  <m:nor/>
                  <m:sty m:val="p"/>
                </m:rPr>
                <m:t>wage</m:t>
              </m:r>
            </m:sub>
          </m:sSub>
          <m:r>
            <m:t>+</m:t>
          </m:r>
          <m:sSub>
            <m:e>
              <m:acc>
                <m:accPr>
                  <m:chr m:val="̂"/>
                </m:accPr>
                <m:e>
                  <m:r>
                    <m:t>c</m:t>
                  </m:r>
                </m:e>
              </m:acc>
            </m:e>
            <m:sub>
              <m:r>
                <m:rPr>
                  <m:nor/>
                  <m:sty m:val="p"/>
                </m:rPr>
                <m:t>rent</m:t>
              </m:r>
            </m:sub>
          </m:sSub>
          <m:r>
            <m:t>×</m:t>
          </m:r>
          <m:r>
            <m:t>0.518</m:t>
          </m:r>
          <m:r>
            <m:t>=</m:t>
          </m:r>
          <m:r>
            <m:t>7.09</m:t>
          </m:r>
          <m:r>
            <m:t>+</m:t>
          </m:r>
          <m:r>
            <m:t>5.91</m:t>
          </m:r>
          <m:r>
            <m:t>×</m:t>
          </m:r>
          <m:r>
            <m:t>0.518</m:t>
          </m:r>
          <m:r>
            <m:t>=</m:t>
          </m:r>
          <m:r>
            <m:t>10.15</m:t>
          </m:r>
          <m:r>
            <m:t>.</m:t>
          </m:r>
        </m:oMath>
      </m:oMathPara>
    </w:p>
    <w:p>
      <w:pPr>
        <w:pStyle w:val="FirstParagraph"/>
      </w:pPr>
      <w:r>
        <w:t xml:space="preserve">The rent coefficient falls even more (12.05 → 5.91, about half) because the rent-only regression was largely</w:t>
      </w:r>
      <w:r>
        <w:t xml:space="preserve"> </w:t>
      </w:r>
      <w:r>
        <w:t xml:space="preserve">capturing the wage differences between expensive and cheap metros. Both costs still matter separately, and</w:t>
      </w:r>
      <w:r>
        <w:t xml:space="preserve"> </w:t>
      </w:r>
      <w:r>
        <w:t xml:space="preserve">regression (c) is the cost model we use to judge whether a county’s price is</w:t>
      </w:r>
      <w:r>
        <w:t xml:space="preserve"> </w:t>
      </w:r>
      <w:r>
        <w:t xml:space="preserve">“</w:t>
      </w:r>
      <w:r>
        <w:t xml:space="preserve">high given its costs.</w:t>
      </w:r>
      <w:r>
        <w:t xml:space="preserve">”</w:t>
      </w:r>
    </w:p>
    <w:bookmarkEnd w:id="26"/>
    <w:bookmarkEnd w:id="27"/>
    <w:bookmarkStart w:id="37" w:name="part-b.-final-project-analysis"/>
    <w:p>
      <w:pPr>
        <w:pStyle w:val="Heading1"/>
      </w:pPr>
      <w:r>
        <w:t xml:space="preserve">Part B. Final project analysis</w:t>
      </w:r>
    </w:p>
    <w:bookmarkStart w:id="30" w:name="a-recommended-counties"/>
    <w:p>
      <w:pPr>
        <w:pStyle w:val="Heading2"/>
      </w:pPr>
      <w:r>
        <w:t xml:space="preserve">(a) Recommended counties</w:t>
      </w:r>
    </w:p>
    <w:p>
      <w:pPr>
        <w:pStyle w:val="FirstParagraph"/>
      </w:pPr>
      <w:r>
        <w:drawing>
          <wp:inline>
            <wp:extent cx="5334000" cy="300892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nal_output/fig_top10_premiu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bars show each county’s 2022 premium in dollars per week (percentage of the cost-predicted price in</w:t>
      </w:r>
      <w:r>
        <w:t xml:space="preserve"> </w:t>
      </w:r>
      <w:r>
        <w:t xml:space="preserve">parentheses); dots show the same county’s premium in 2019. The full list, with characteristics, is in the table in</w:t>
      </w:r>
      <w:r>
        <w:t xml:space="preserve"> </w:t>
      </w:r>
      <w:r>
        <w:t xml:space="preserve">the Summary.</w:t>
      </w:r>
    </w:p>
    <w:p>
      <w:pPr>
        <w:pStyle w:val="BodyText"/>
      </w:pPr>
      <w:r>
        <w:drawing>
          <wp:inline>
            <wp:extent cx="5334000" cy="382953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nal_output/fig_actual_vs_predic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9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Every county sits on this chart at its cost-predicted price (horizontal) and actual price (vertical). The dashed</w:t>
      </w:r>
      <w:r>
        <w:t xml:space="preserve"> </w:t>
      </w:r>
      <w:r>
        <w:t xml:space="preserve">line is</w:t>
      </w:r>
      <w:r>
        <w:t xml:space="preserve"> </w:t>
      </w:r>
      <w:r>
        <w:t xml:space="preserve">“</w:t>
      </w:r>
      <w:r>
        <w:t xml:space="preserve">price = cost prediction</w:t>
      </w:r>
      <w:r>
        <w:t xml:space="preserve">”</w:t>
      </w:r>
      <w:r>
        <w:t xml:space="preserve">; the further above it a county is, the larger its premium. Blue points pass both</w:t>
      </w:r>
      <w:r>
        <w:t xml:space="preserve"> </w:t>
      </w:r>
      <w:r>
        <w:t xml:space="preserve">screens; red points are the top 10.</w:t>
      </w:r>
    </w:p>
    <w:p>
      <w:pPr>
        <w:pStyle w:val="BodyText"/>
      </w:pPr>
      <w:r>
        <w:rPr>
          <w:b/>
        </w:rPr>
        <w:t xml:space="preserve">Promising counties beyond the top 10</w:t>
      </w:r>
      <w:r>
        <w:t xml:space="preserve"> </w:t>
      </w:r>
      <w:r>
        <w:t xml:space="preserve">(ranks 11–20 among screened counties): Ramsey, Anoka, Hennepin, Carver</w:t>
      </w:r>
      <w:r>
        <w:t xml:space="preserve"> </w:t>
      </w:r>
      <w:r>
        <w:t xml:space="preserve">and Dakota Counties MN (Minneapolis–St. Paul), Trumbull County OH, Howard County MD, Milwaukee and Racine Counties WI,</w:t>
      </w:r>
      <w:r>
        <w:t xml:space="preserve"> </w:t>
      </w:r>
      <w:r>
        <w:t xml:space="preserve">and Burlington County NJ, all with premiums of $88–$100 a week.</w:t>
      </w:r>
    </w:p>
    <w:bookmarkEnd w:id="30"/>
    <w:bookmarkStart w:id="32" w:name="b-methodology-and-reliability"/>
    <w:p>
      <w:pPr>
        <w:pStyle w:val="Heading2"/>
      </w:pPr>
      <w:r>
        <w:t xml:space="preserve">(b) Methodology and reliability</w:t>
      </w:r>
    </w:p>
    <w:p>
      <w:pPr>
        <w:pStyle w:val="FirstParagraph"/>
      </w:pPr>
      <w:r>
        <w:rPr>
          <w:b/>
        </w:rPr>
        <w:t xml:space="preserve">Step 1: cost model.</w:t>
      </w:r>
      <w:r>
        <w:t xml:space="preserve"> </w:t>
      </w:r>
      <w:r>
        <w:t xml:space="preserve">For each year 2015–2022 we estimate, across metro counties,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price</m:t>
              </m:r>
            </m:e>
            <m:sub>
              <m:r>
                <m:t>i</m:t>
              </m:r>
            </m:sub>
          </m:sSub>
          <m:r>
            <m:t>=</m:t>
          </m:r>
          <m:r>
            <m:t>a</m:t>
          </m:r>
          <m:r>
            <m:t>+</m:t>
          </m:r>
          <m:r>
            <m:t>b</m:t>
          </m:r>
          <m:r>
            <m:t>×</m:t>
          </m:r>
          <m:sSub>
            <m:e>
              <m:r>
                <m:rPr>
                  <m:nor/>
                  <m:sty m:val="p"/>
                </m:rPr>
                <m:t>wage</m:t>
              </m:r>
            </m:e>
            <m:sub>
              <m:r>
                <m:t>i</m:t>
              </m:r>
            </m:sub>
          </m:sSub>
          <m:r>
            <m:t>+</m:t>
          </m:r>
          <m:r>
            <m:t>c</m:t>
          </m:r>
          <m:r>
            <m:t>×</m:t>
          </m:r>
          <m:sSub>
            <m:e>
              <m:r>
                <m:rPr>
                  <m:nor/>
                  <m:sty m:val="p"/>
                </m:rPr>
                <m:t>rent</m:t>
              </m:r>
            </m:e>
            <m:sub>
              <m:r>
                <m:t>i</m:t>
              </m:r>
            </m:sub>
          </m:sSub>
          <m:r>
            <m:t>+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,</m:t>
          </m:r>
        </m:oMath>
      </m:oMathPara>
    </w:p>
    <w:p>
      <w:pPr>
        <w:pStyle w:val="FirstParagraph"/>
      </w:pPr>
      <w:r>
        <w:t xml:space="preserve">with real 2022 dollars. The 2022 estimates are regression (c) above.</w:t>
      </w:r>
    </w:p>
    <w:p>
      <w:pPr>
        <w:pStyle w:val="BodyText"/>
      </w:pPr>
      <w:r>
        <w:rPr>
          <w:b/>
        </w:rPr>
        <w:t xml:space="preserve">Step 2: premium.</w:t>
      </w:r>
      <w:r>
        <w:t xml:space="preserve"> </w:t>
      </w:r>
      <w:r>
        <w:t xml:space="preserve">A county’s premium is its residual,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t>=</m:t>
        </m:r>
        <m:sSub>
          <m:e>
            <m:r>
              <m:rPr>
                <m:nor/>
                <m:sty m:val="p"/>
              </m:rPr>
              <m:t>price</m:t>
            </m:r>
          </m:e>
          <m:sub>
            <m:r>
              <m:t>i</m:t>
            </m:r>
          </m:sub>
        </m:sSub>
        <m:r>
          <m:t>−</m:t>
        </m:r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price</m:t>
                </m:r>
              </m:e>
            </m:acc>
          </m:e>
          <m:sub>
            <m:r>
              <m:t>i</m:t>
            </m:r>
          </m:sub>
        </m:sSub>
      </m:oMath>
      <w:r>
        <w:t xml:space="preserve">: how much</w:t>
      </w:r>
      <w:r>
        <w:t xml:space="preserve"> </w:t>
      </w:r>
      <w:r>
        <w:t xml:space="preserve">more (or less) it charges than counties with the same labor and rent costs. A positive premium means families pay</w:t>
      </w:r>
      <w:r>
        <w:t xml:space="preserve"> </w:t>
      </w:r>
      <w:r>
        <w:t xml:space="preserve">more than costs alone would predict, which is the margin opportunity for a new center.</w:t>
      </w:r>
    </w:p>
    <w:p>
      <w:pPr>
        <w:pStyle w:val="BodyText"/>
      </w:pPr>
      <w:r>
        <w:rPr>
          <w:b/>
        </w:rPr>
        <w:t xml:space="preserve">Step 3: screens.</w:t>
      </w:r>
      <w:r>
        <w:t xml:space="preserve"> </w:t>
      </w:r>
      <w:r>
        <w:t xml:space="preserve">Of the 998 counties with 2022 data: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Market size:</w:t>
      </w:r>
      <w:r>
        <w:t xml:space="preserve"> </w:t>
      </w:r>
      <w:r>
        <w:t xml:space="preserve">at least 5,000 children under 6 with all parents in the labor force (the families who need</w:t>
      </w:r>
      <w:r>
        <w:t xml:space="preserve"> </w:t>
      </w:r>
      <w:r>
        <w:t xml:space="preserve">full-time care). Below that, a market may not support a new center alongside incumbents. 461 counties pass.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Persistence:</w:t>
      </w:r>
      <w:r>
        <w:t xml:space="preserve"> </w:t>
      </w:r>
      <w:r>
        <w:t xml:space="preserve">a positive premium in every year it is observed from 2019 to 2022, and observed in at least 3 of</w:t>
      </w:r>
      <w:r>
        <w:t xml:space="preserve"> </w:t>
      </w:r>
      <w:r>
        <w:t xml:space="preserve">those 4 years.</w:t>
      </w:r>
      <w:r>
        <w:rPr>
          <w:rStyle w:val="FootnoteReference"/>
        </w:rPr>
        <w:footnoteReference w:id="31"/>
      </w:r>
      <w:r>
        <w:t xml:space="preserve"> </w:t>
      </w:r>
      <w:r>
        <w:t xml:space="preserve">296 counties pass.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Both screens:</w:t>
      </w:r>
      <w:r>
        <w:t xml:space="preserve"> </w:t>
      </w:r>
      <w:r>
        <w:t xml:space="preserve">155 counties.</w:t>
      </w:r>
    </w:p>
    <w:p>
      <w:pPr>
        <w:pStyle w:val="FirstParagraph"/>
      </w:pPr>
      <w:r>
        <w:rPr>
          <w:b/>
        </w:rPr>
        <w:t xml:space="preserve">Step 4: ranking.</w:t>
      </w:r>
      <w:r>
        <w:t xml:space="preserve"> </w:t>
      </w:r>
      <w:r>
        <w:t xml:space="preserve">We rank the 155 counties by their 2022 premium and recommend the top 10.</w:t>
      </w:r>
    </w:p>
    <w:p>
      <w:pPr>
        <w:pStyle w:val="BodyText"/>
      </w:pPr>
      <w:r>
        <w:rPr>
          <w:b/>
        </w:rPr>
        <w:t xml:space="preserve">Reliability checks.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fit</w:t>
            </w:r>
          </w:p>
        </w:tc>
        <w:tc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between 0.56 and 0.67 in every year; 2022 RMSE $37/week</w:t>
            </w:r>
          </w:p>
        </w:tc>
        <w:tc>
          <w:p>
            <w:pPr>
              <w:pStyle w:val="Compact"/>
              <w:jc w:val="left"/>
            </w:pPr>
            <w:r>
              <w:t xml:space="preserve">Costs explain most, not all, of price differences; the unexplained part is the premium we rank on, and the top 10 premiums are 2.7–5.4× the RMSE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Coefficient stability</w:t>
            </w:r>
          </w:p>
        </w:tc>
        <w:tc>
          <w:p>
            <w:pPr>
              <w:pStyle w:val="Compact"/>
              <w:jc w:val="left"/>
            </w:pPr>
            <w:r>
              <w:t xml:space="preserve">wage slope 6.1–8.2, rent slope 5.7–8.2 ($/week), 2015–2022</w:t>
            </w:r>
          </w:p>
        </w:tc>
        <w:tc>
          <w:p>
            <w:pPr>
              <w:pStyle w:val="Compact"/>
              <w:jc w:val="left"/>
            </w:pPr>
            <w:r>
              <w:t xml:space="preserve">The cost model is not a one-year artifact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Out-of-time prediction</w:t>
            </w:r>
          </w:p>
        </w:tc>
        <w:tc>
          <w:p>
            <w:pPr>
              <w:pStyle w:val="Compact"/>
              <w:jc w:val="left"/>
            </w:pPr>
            <w:r>
              <w:t xml:space="preserve">the 2019 premium predicts the 2022 premium with slope 0.88,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r>
                <m:t>0.67</m:t>
              </m:r>
            </m:oMath>
            <w:r>
              <w:t xml:space="preserve"> </w:t>
            </w:r>
            <w:r>
              <w:t xml:space="preserve">(712 counties; 0.90 across all 974 counties observed in both years)</w:t>
            </w:r>
          </w:p>
        </w:tc>
        <w:tc>
          <w:p>
            <w:pPr>
              <w:pStyle w:val="Compact"/>
              <w:jc w:val="left"/>
            </w:pPr>
            <w:r>
              <w:t xml:space="preserve">Premiums are a persistent market feature: knowing the 2019 premium cuts the 2022 price error from $37 to $22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form</w:t>
            </w:r>
          </w:p>
        </w:tc>
        <w:tc>
          <w:p>
            <w:pPr>
              <w:pStyle w:val="Compact"/>
              <w:jc w:val="left"/>
            </w:pPr>
            <w:r>
              <w:t xml:space="preserve">a log-log model ranks counties almost identically (Spearman 0.98); 8 of our top 10 are in its top 12</w:t>
            </w:r>
          </w:p>
        </w:tc>
        <w:tc>
          <w:p>
            <w:pPr>
              <w:pStyle w:val="Compact"/>
              <w:jc w:val="left"/>
            </w:pPr>
            <w:r>
              <w:t xml:space="preserve">Not sensitive to linear vs. percentage premiums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Residual spread</w:t>
            </w:r>
          </w:p>
        </w:tc>
        <w:tc>
          <w:p>
            <w:pPr>
              <w:pStyle w:val="Compact"/>
              <w:jc w:val="left"/>
            </w:pPr>
            <w:r>
              <w:t xml:space="preserve">larger residuals at higher predicted prices (Breusch–Pagan</w:t>
            </w:r>
            <w:r>
              <w:t xml:space="preserve"> </w:t>
            </w:r>
            <m:oMath>
              <m:r>
                <m:t>p</m:t>
              </m:r>
              <m:r>
                <m:t>&lt;</m:t>
              </m:r>
              <m:r>
                <m:t>0.001</m:t>
              </m:r>
            </m:oMath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Coefficients stay valid; very high-price counties are less predictable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Signal vs. noise</w:t>
            </w:r>
          </w:p>
        </w:tc>
        <w:tc>
          <w:p>
            <w:pPr>
              <w:pStyle w:val="Compact"/>
              <w:jc w:val="left"/>
            </w:pPr>
            <w:r>
              <w:t xml:space="preserve">SD of each county’s average premium $31/week vs. SD of its year-to-year deviations $15</w:t>
            </w:r>
          </w:p>
        </w:tc>
        <w:tc>
          <w:p>
            <w:pPr>
              <w:pStyle w:val="Compact"/>
              <w:jc w:val="left"/>
            </w:pPr>
            <w:r>
              <w:t xml:space="preserve">The lasting part of a premium is about twice the yearly noise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Within-state model</w:t>
            </w:r>
          </w:p>
        </w:tc>
        <w:tc>
          <w:p>
            <w:pPr>
              <w:pStyle w:val="Compact"/>
              <w:jc w:val="left"/>
            </w:pPr>
            <w:r>
              <w:t xml:space="preserve">adding state fixed effects to the cost model keeps the four high-confidence picks at ranks 1, 2, 3 and 8</w:t>
            </w:r>
          </w:p>
        </w:tc>
        <w:tc>
          <w:p>
            <w:pPr>
              <w:pStyle w:val="Compact"/>
              <w:jc w:val="left"/>
            </w:pPr>
            <w:r>
              <w:t xml:space="preserve">Their premiums are not just a state effect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Regional prices</w:t>
            </w:r>
          </w:p>
        </w:tc>
        <w:tc>
          <w:p>
            <w:pPr>
              <w:pStyle w:val="Compact"/>
              <w:jc w:val="left"/>
            </w:pPr>
            <w:r>
              <w:t xml:space="preserve">43% of the variation in premiums is between states; 60% of counties share an exact price with another county in their state</w:t>
            </w:r>
          </w:p>
        </w:tc>
        <w:tc>
          <w:p>
            <w:pPr>
              <w:pStyle w:val="Compact"/>
              <w:jc w:val="left"/>
            </w:pPr>
            <w:r>
              <w:t xml:space="preserve">Part of a premium can reflect a state’s regional survey rate rather than the county itself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Price trends</w:t>
            </w:r>
          </w:p>
        </w:tc>
        <w:tc>
          <w:p>
            <w:pPr>
              <w:pStyle w:val="Compact"/>
              <w:jc w:val="left"/>
            </w:pPr>
            <w:r>
              <w:t xml:space="preserve">NDCP fills years between surveys with straight lines (77% of metro counties have exactly linear 2019–2022 prices); 2018–2022 growth median +10.6%, 99th percentile +55.5%</w:t>
            </w:r>
          </w:p>
        </w:tc>
        <w:tc>
          <w:p>
            <w:pPr>
              <w:pStyle w:val="Compact"/>
              <w:jc w:val="left"/>
            </w:pPr>
            <w:r>
              <w:t xml:space="preserve">Stearns MN (+77%) and McLean IL (+59%) are extreme; their 2022 premium may partly be an extrapolated trend</w:t>
            </w:r>
          </w:p>
        </w:tc>
      </w:tr>
    </w:tbl>
    <w:p>
      <w:pPr>
        <w:pStyle w:val="BodyText"/>
      </w:pPr>
      <w:r>
        <w:rPr>
          <w:b/>
        </w:rPr>
        <w:t xml:space="preserve">Robustness list: county-specific prices only.</w:t>
      </w:r>
      <w:r>
        <w:t xml:space="preserve"> </w:t>
      </w:r>
      <w:r>
        <w:t xml:space="preserve">Several states’ price surveys publish regional rates, e.g.</w:t>
      </w:r>
      <w:r>
        <w:t xml:space="preserve"> </w:t>
      </w:r>
      <w:r>
        <w:t xml:space="preserve">Wisconsin reports 4 distinct prices across its 26 metro counties, Minnesota 7 across 27, Ohio 3 across 38. For a</w:t>
      </w:r>
      <w:r>
        <w:t xml:space="preserve"> </w:t>
      </w:r>
      <w:r>
        <w:t xml:space="preserve">county with a regional price, the premium partly reflects lower</w:t>
      </w:r>
      <w:r>
        <w:t xml:space="preserve"> </w:t>
      </w:r>
      <w:r>
        <w:rPr>
          <w:i/>
        </w:rPr>
        <w:t xml:space="preserve">local</w:t>
      </w:r>
      <w:r>
        <w:t xml:space="preserve"> </w:t>
      </w:r>
      <w:r>
        <w:t xml:space="preserve">costs measured against a</w:t>
      </w:r>
      <w:r>
        <w:t xml:space="preserve"> </w:t>
      </w:r>
      <w:r>
        <w:rPr>
          <w:i/>
        </w:rPr>
        <w:t xml:space="preserve">regional</w:t>
      </w:r>
      <w:r>
        <w:t xml:space="preserve"> </w:t>
      </w:r>
      <w:r>
        <w:t xml:space="preserve">price.</w:t>
      </w:r>
      <w:r>
        <w:t xml:space="preserve"> </w:t>
      </w:r>
      <w:r>
        <w:t xml:space="preserve">Restricting the ranking to counties whose price is shared with at most two others in the state gives: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Premium ($/wk)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 main top 10?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Arlington County, VA</w:t>
            </w:r>
          </w:p>
        </w:tc>
        <w:tc>
          <w:p>
            <w:pPr>
              <w:pStyle w:val="Compact"/>
              <w:jc w:val="left"/>
            </w:pPr>
            <w:r>
              <w:t xml:space="preserve">+201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Stearns County, MN</w:t>
            </w:r>
          </w:p>
        </w:tc>
        <w:tc>
          <w:p>
            <w:pPr>
              <w:pStyle w:val="Compact"/>
              <w:jc w:val="left"/>
            </w:pPr>
            <w:r>
              <w:t xml:space="preserve">+170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Alexandria city, VA</w:t>
            </w:r>
          </w:p>
        </w:tc>
        <w:tc>
          <w:p>
            <w:pPr>
              <w:pStyle w:val="Compact"/>
              <w:jc w:val="left"/>
            </w:pPr>
            <w:r>
              <w:t xml:space="preserve">+143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San Francisco County, CA</w:t>
            </w:r>
          </w:p>
        </w:tc>
        <w:tc>
          <w:p>
            <w:pPr>
              <w:pStyle w:val="Compact"/>
              <w:jc w:val="left"/>
            </w:pPr>
            <w:r>
              <w:t xml:space="preserve">+143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Norfolk County, MA</w:t>
            </w:r>
          </w:p>
        </w:tc>
        <w:tc>
          <w:p>
            <w:pPr>
              <w:pStyle w:val="Compact"/>
              <w:jc w:val="left"/>
            </w:pPr>
            <w:r>
              <w:t xml:space="preserve">+116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McLean County, IL</w:t>
            </w:r>
          </w:p>
        </w:tc>
        <w:tc>
          <w:p>
            <w:pPr>
              <w:pStyle w:val="Compact"/>
              <w:jc w:val="left"/>
            </w:pPr>
            <w:r>
              <w:t xml:space="preserve">+111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Howard County, MD</w:t>
            </w:r>
          </w:p>
        </w:tc>
        <w:tc>
          <w:p>
            <w:pPr>
              <w:pStyle w:val="Compact"/>
              <w:jc w:val="left"/>
            </w:pPr>
            <w:r>
              <w:t xml:space="preserve">+89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Burlington County, NJ</w:t>
            </w:r>
          </w:p>
        </w:tc>
        <w:tc>
          <w:p>
            <w:pPr>
              <w:pStyle w:val="Compact"/>
              <w:jc w:val="left"/>
            </w:pPr>
            <w:r>
              <w:t xml:space="preserve">+88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DuPage County, IL</w:t>
            </w:r>
          </w:p>
        </w:tc>
        <w:tc>
          <w:p>
            <w:pPr>
              <w:pStyle w:val="Compact"/>
              <w:jc w:val="left"/>
            </w:pPr>
            <w:r>
              <w:t xml:space="preserve">+86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Gloucester County, NJ</w:t>
            </w:r>
          </w:p>
        </w:tc>
        <w:tc>
          <w:p>
            <w:pPr>
              <w:pStyle w:val="Compact"/>
              <w:jc w:val="left"/>
            </w:pPr>
            <w:r>
              <w:t xml:space="preserve">+85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</w:tbl>
    <w:p>
      <w:pPr>
        <w:pStyle w:val="BodyText"/>
      </w:pPr>
      <w:r>
        <w:t xml:space="preserve">Six of the ten survive this check. Adding the price-trend check removes Stearns and McLean as well.</w:t>
      </w:r>
      <w:r>
        <w:t xml:space="preserve"> </w:t>
      </w:r>
      <w:r>
        <w:rPr>
          <w:b/>
        </w:rPr>
        <w:t xml:space="preserve">High-confidence</w:t>
      </w:r>
      <w:r>
        <w:rPr>
          <w:b/>
        </w:rPr>
        <w:t xml:space="preserve"> </w:t>
      </w:r>
      <w:r>
        <w:rPr>
          <w:b/>
        </w:rPr>
        <w:t xml:space="preserve">list</w:t>
      </w:r>
      <w:r>
        <w:t xml:space="preserve"> </w:t>
      </w:r>
      <w:r>
        <w:t xml:space="preserve">(county-specific price and a normal 2018–2022 price trend), ranked by premium: Arlington VA (+$201),</w:t>
      </w:r>
      <w:r>
        <w:t xml:space="preserve"> </w:t>
      </w:r>
      <w:r>
        <w:t xml:space="preserve">Alexandria VA (+$143), San Francisco CA (+$143), Norfolk MA (+$116), Howard MD (+$89), Burlington NJ (+$88),</w:t>
      </w:r>
      <w:r>
        <w:t xml:space="preserve"> </w:t>
      </w:r>
      <w:r>
        <w:t xml:space="preserve">DuPage IL (+$86), Gloucester NJ (+$85), King WA (+$83) and Cumberland NJ (+$80).</w:t>
      </w:r>
      <w:r>
        <w:t xml:space="preserve"> </w:t>
      </w:r>
      <w:r>
        <w:rPr>
          <w:b/>
        </w:rPr>
        <w:t xml:space="preserve">Our recommendation:</w:t>
      </w:r>
      <w:r>
        <w:t xml:space="preserve"> </w:t>
      </w:r>
      <w:r>
        <w:t xml:space="preserve">lead with</w:t>
      </w:r>
      <w:r>
        <w:t xml:space="preserve"> </w:t>
      </w:r>
      <w:r>
        <w:t xml:space="preserve">the four counties that are in both lists, and treat the other six main picks as candidates to confirm with local</w:t>
      </w:r>
      <w:r>
        <w:t xml:space="preserve"> </w:t>
      </w:r>
      <w:r>
        <w:t xml:space="preserve">price data before committing capital.</w:t>
      </w:r>
    </w:p>
    <w:bookmarkEnd w:id="32"/>
    <w:bookmarkStart w:id="33" w:name="X338b656942a2f7d26ede2db9d59344849c16590"/>
    <w:p>
      <w:pPr>
        <w:pStyle w:val="Heading2"/>
      </w:pPr>
      <w:r>
        <w:t xml:space="preserve">(c) Market characteristics used to predict promising locations</w:t>
      </w:r>
    </w:p>
    <w:p>
      <w:pPr>
        <w:pStyle w:val="FirstParagraph"/>
      </w:pPr>
      <w:r>
        <w:t xml:space="preserve">Our selection rests on four characteristics: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Price premium over costs</w:t>
      </w:r>
      <w:r>
        <w:t xml:space="preserve"> </w:t>
      </w:r>
      <w:r>
        <w:t xml:space="preserve">(the ranking variable): price relative to what childcare wages and rent predict.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Childcare-worker wages</w:t>
      </w:r>
      <w:r>
        <w:t xml:space="preserve"> </w:t>
      </w:r>
      <w:r>
        <w:t xml:space="preserve">and 3.</w:t>
      </w:r>
      <w:r>
        <w:t xml:space="preserve"> </w:t>
      </w:r>
      <w:r>
        <w:rPr>
          <w:b/>
        </w:rPr>
        <w:t xml:space="preserve">median gross rent</w:t>
      </w:r>
      <w:r>
        <w:t xml:space="preserve">: the two main cost drivers, used to build the cost</w:t>
      </w:r>
      <w:r>
        <w:t xml:space="preserve"> </w:t>
      </w:r>
      <w:r>
        <w:t xml:space="preserve">prediction.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Demand depth:</w:t>
      </w:r>
      <w:r>
        <w:t xml:space="preserve"> </w:t>
      </w:r>
      <w:r>
        <w:t xml:space="preserve">the number of children under 6 whose parents all work (the market-size screen).</w:t>
      </w:r>
    </w:p>
    <w:p>
      <w:pPr>
        <w:pStyle w:val="FirstParagraph"/>
      </w:pPr>
      <w:r>
        <w:t xml:space="preserve">Together with the persistence screen, these define our recommendation. The recommended counties also share a</w:t>
      </w:r>
      <w:r>
        <w:t xml:space="preserve"> </w:t>
      </w:r>
      <w:r>
        <w:t xml:space="preserve">demographic profile: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Average across counties (2022)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 10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All 155 screened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All 998 metro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Preschool price, $/week</w:t>
            </w:r>
          </w:p>
        </w:tc>
        <w:tc>
          <w:p>
            <w:pPr>
              <w:pStyle w:val="Compact"/>
              <w:jc w:val="left"/>
            </w:pPr>
            <w:r>
              <w:t xml:space="preserve">352</w:t>
            </w:r>
          </w:p>
        </w:tc>
        <w:tc>
          <w:p>
            <w:pPr>
              <w:pStyle w:val="Compact"/>
              <w:jc w:val="left"/>
            </w:pPr>
            <w:r>
              <w:t xml:space="preserve">245</w:t>
            </w:r>
          </w:p>
        </w:tc>
        <w:tc>
          <w:p>
            <w:pPr>
              <w:pStyle w:val="Compact"/>
              <w:jc w:val="left"/>
            </w:pPr>
            <w:r>
              <w:t xml:space="preserve">174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Cost-predicted price, $/week</w:t>
            </w:r>
          </w:p>
        </w:tc>
        <w:tc>
          <w:p>
            <w:pPr>
              <w:pStyle w:val="Compact"/>
              <w:jc w:val="left"/>
            </w:pPr>
            <w:r>
              <w:t xml:space="preserve">217</w:t>
            </w:r>
          </w:p>
        </w:tc>
        <w:tc>
          <w:p>
            <w:pPr>
              <w:pStyle w:val="Compact"/>
              <w:jc w:val="left"/>
            </w:pPr>
            <w:r>
              <w:t xml:space="preserve">197</w:t>
            </w:r>
          </w:p>
        </w:tc>
        <w:tc>
          <w:p>
            <w:pPr>
              <w:pStyle w:val="Compact"/>
              <w:jc w:val="left"/>
            </w:pPr>
            <w:r>
              <w:t xml:space="preserve">174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Premium, $/week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+135</w:t>
            </w:r>
          </w:p>
        </w:tc>
        <w:tc>
          <w:p>
            <w:pPr>
              <w:pStyle w:val="Compact"/>
              <w:jc w:val="left"/>
            </w:pPr>
            <w:r>
              <w:t xml:space="preserve">+47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Childcare wage, $/yr</w:t>
            </w:r>
          </w:p>
        </w:tc>
        <w:tc>
          <w:p>
            <w:pPr>
              <w:pStyle w:val="Compact"/>
              <w:jc w:val="left"/>
            </w:pPr>
            <w:r>
              <w:t xml:space="preserve">31,014</w:t>
            </w:r>
          </w:p>
        </w:tc>
        <w:tc>
          <w:p>
            <w:pPr>
              <w:pStyle w:val="Compact"/>
              <w:jc w:val="left"/>
            </w:pPr>
            <w:r>
              <w:t xml:space="preserve">29,868</w:t>
            </w:r>
          </w:p>
        </w:tc>
        <w:tc>
          <w:p>
            <w:pPr>
              <w:pStyle w:val="Compact"/>
              <w:jc w:val="left"/>
            </w:pPr>
            <w:r>
              <w:t xml:space="preserve">27,780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 gross rent, $/month</w:t>
            </w:r>
          </w:p>
        </w:tc>
        <w:tc>
          <w:p>
            <w:pPr>
              <w:pStyle w:val="Compact"/>
              <w:jc w:val="left"/>
            </w:pPr>
            <w:r>
              <w:t xml:space="preserve">1,437</w:t>
            </w:r>
          </w:p>
        </w:tc>
        <w:tc>
          <w:p>
            <w:pPr>
              <w:pStyle w:val="Compact"/>
              <w:jc w:val="left"/>
            </w:pPr>
            <w:r>
              <w:t xml:space="preserve">1,241</w:t>
            </w:r>
          </w:p>
        </w:tc>
        <w:tc>
          <w:p>
            <w:pPr>
              <w:pStyle w:val="Compact"/>
              <w:jc w:val="left"/>
            </w:pPr>
            <w:r>
              <w:t xml:space="preserve">1,106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Per-capita income, $</w:t>
            </w:r>
          </w:p>
        </w:tc>
        <w:tc>
          <w:p>
            <w:pPr>
              <w:pStyle w:val="Compact"/>
              <w:jc w:val="left"/>
            </w:pPr>
            <w:r>
              <w:t xml:space="preserve">55,669</w:t>
            </w:r>
          </w:p>
        </w:tc>
        <w:tc>
          <w:p>
            <w:pPr>
              <w:pStyle w:val="Compact"/>
              <w:jc w:val="left"/>
            </w:pPr>
            <w:r>
              <w:t xml:space="preserve">44,192</w:t>
            </w:r>
          </w:p>
        </w:tc>
        <w:tc>
          <w:p>
            <w:pPr>
              <w:pStyle w:val="Compact"/>
              <w:jc w:val="left"/>
            </w:pPr>
            <w:r>
              <w:t xml:space="preserve">37,859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Women 25+ with bachelor’s degree or higher</w:t>
            </w:r>
          </w:p>
        </w:tc>
        <w:tc>
          <w:p>
            <w:pPr>
              <w:pStyle w:val="Compact"/>
              <w:jc w:val="left"/>
            </w:pPr>
            <w:r>
              <w:t xml:space="preserve">48.7%</w:t>
            </w:r>
          </w:p>
        </w:tc>
        <w:tc>
          <w:p>
            <w:pPr>
              <w:pStyle w:val="Compact"/>
              <w:jc w:val="left"/>
            </w:pPr>
            <w:r>
              <w:t xml:space="preserve">38.7%</w:t>
            </w:r>
          </w:p>
        </w:tc>
        <w:tc>
          <w:p>
            <w:pPr>
              <w:pStyle w:val="Compact"/>
              <w:jc w:val="left"/>
            </w:pPr>
            <w:r>
              <w:t xml:space="preserve">30.6%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Women 16–64 working full-time, year-round</w:t>
            </w:r>
          </w:p>
        </w:tc>
        <w:tc>
          <w:p>
            <w:pPr>
              <w:pStyle w:val="Compact"/>
              <w:jc w:val="left"/>
            </w:pPr>
            <w:r>
              <w:t xml:space="preserve">51.3%</w:t>
            </w:r>
          </w:p>
        </w:tc>
        <w:tc>
          <w:p>
            <w:pPr>
              <w:pStyle w:val="Compact"/>
              <w:jc w:val="left"/>
            </w:pPr>
            <w:r>
              <w:t xml:space="preserve">46.9%</w:t>
            </w:r>
          </w:p>
        </w:tc>
        <w:tc>
          <w:p>
            <w:pPr>
              <w:pStyle w:val="Compact"/>
              <w:jc w:val="left"/>
            </w:pPr>
            <w:r>
              <w:t xml:space="preserve">44.6%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Children under 6 with all parents working</w:t>
            </w:r>
          </w:p>
        </w:tc>
        <w:tc>
          <w:p>
            <w:pPr>
              <w:pStyle w:val="Compact"/>
              <w:jc w:val="left"/>
            </w:pPr>
            <w:r>
              <w:t xml:space="preserve">13,740</w:t>
            </w:r>
          </w:p>
        </w:tc>
        <w:tc>
          <w:p>
            <w:pPr>
              <w:pStyle w:val="Compact"/>
              <w:jc w:val="left"/>
            </w:pPr>
            <w:r>
              <w:t xml:space="preserve">19,952</w:t>
            </w:r>
          </w:p>
        </w:tc>
        <w:tc>
          <w:p>
            <w:pPr>
              <w:pStyle w:val="Compact"/>
              <w:jc w:val="left"/>
            </w:pPr>
            <w:r>
              <w:t xml:space="preserve">11,538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 of population under 6 needing care</w:t>
            </w:r>
          </w:p>
        </w:tc>
        <w:tc>
          <w:p>
            <w:pPr>
              <w:pStyle w:val="Compact"/>
              <w:jc w:val="left"/>
            </w:pPr>
            <w:r>
              <w:t xml:space="preserve">4.9%</w:t>
            </w:r>
          </w:p>
        </w:tc>
        <w:tc>
          <w:p>
            <w:pPr>
              <w:pStyle w:val="Compact"/>
              <w:jc w:val="left"/>
            </w:pPr>
            <w:r>
              <w:t xml:space="preserve">4.7%</w:t>
            </w:r>
          </w:p>
        </w:tc>
        <w:tc>
          <w:p>
            <w:pPr>
              <w:pStyle w:val="Compact"/>
              <w:jc w:val="left"/>
            </w:pPr>
            <w:r>
              <w:t xml:space="preserve">4.3%</w:t>
            </w:r>
          </w:p>
        </w:tc>
      </w:tr>
    </w:tbl>
    <w:p>
      <w:pPr>
        <w:pStyle w:val="BodyText"/>
      </w:pPr>
      <w:r>
        <w:t xml:space="preserve">Top-10 counties are richer, more educated and have more working mothers. Across all counties, the premium is</w:t>
      </w:r>
      <w:r>
        <w:t xml:space="preserve"> </w:t>
      </w:r>
      <w:r>
        <w:t xml:space="preserve">modestly higher where income, the female college share and the share of young children needing care are higher.</w:t>
      </w:r>
      <w:r>
        <w:t xml:space="preserve"> </w:t>
      </w:r>
      <w:r>
        <w:t xml:space="preserve">In a regression of the premium on these demographics, all three are significant at 5% (</w:t>
      </w:r>
      <m:oMath>
        <m:r>
          <m:t>t</m:t>
        </m:r>
      </m:oMath>
      <w:r>
        <w:t xml:space="preserve"> </w:t>
      </w:r>
      <w:r>
        <w:t xml:space="preserve">= 2.1, 2.6 and 2.3),</w:t>
      </w:r>
      <w:r>
        <w:t xml:space="preserve"> </w:t>
      </w:r>
      <w:r>
        <w:t xml:space="preserve">but together they explain</w:t>
      </w:r>
      <w:r>
        <w:t xml:space="preserve"> </w:t>
      </w:r>
      <w:r>
        <w:rPr>
          <w:b/>
        </w:rPr>
        <w:t xml:space="preserve">only 7%</w:t>
      </w:r>
      <w:r>
        <w:t xml:space="preserve"> </w:t>
      </w:r>
      <w:r>
        <w:t xml:space="preserve">of the variation in premiums. Demographics help as tie-breakers, but most of</w:t>
      </w:r>
      <w:r>
        <w:t xml:space="preserve"> </w:t>
      </w:r>
      <w:r>
        <w:t xml:space="preserve">the premium reflects local market conditions (state regulation, competition, the survey’s regional rates) that our</w:t>
      </w:r>
      <w:r>
        <w:t xml:space="preserve"> </w:t>
      </w:r>
      <w:r>
        <w:t xml:space="preserve">data do not observe directly, which is why we rank on the measured premium rather than on demographics.</w:t>
      </w:r>
    </w:p>
    <w:bookmarkEnd w:id="33"/>
    <w:bookmarkStart w:id="35" w:name="d-are-price-premiums-stable-over-time"/>
    <w:p>
      <w:pPr>
        <w:pStyle w:val="Heading2"/>
      </w:pPr>
      <w:r>
        <w:t xml:space="preserve">(d) Are price premiums stable over time?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nal_output/fig_premium_stabil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Yes, mostly.</w:t>
      </w:r>
      <w:r>
        <w:t xml:space="preserve"> </w:t>
      </w:r>
      <w:r>
        <w:t xml:space="preserve">We re-estimated the cost model every year and compared premiums for the 712 counties observed in</w:t>
      </w:r>
      <w:r>
        <w:t xml:space="preserve"> </w:t>
      </w:r>
      <w:r>
        <w:t xml:space="preserve">all eight years:</w:t>
      </w:r>
    </w:p>
    <w:p>
      <w:pPr>
        <w:numPr>
          <w:ilvl w:val="0"/>
          <w:numId w:val="1004"/>
        </w:numPr>
        <w:pStyle w:val="Compact"/>
      </w:pPr>
      <w:r>
        <w:t xml:space="preserve">The correlation between a county’s premium in a given year and its 2022 premium falls only gradually, from 0.94</w:t>
      </w:r>
    </w:p>
    <w:p>
      <w:pPr>
        <w:numPr>
          <w:ilvl w:val="1"/>
          <w:numId w:val="1005"/>
        </w:numPr>
        <w:pStyle w:val="Compact"/>
      </w:pPr>
      <w:r>
        <w:t xml:space="preserve">and 0.82 (2019) to 0.58 (2015).</w:t>
      </w:r>
    </w:p>
    <w:p>
      <w:pPr>
        <w:numPr>
          <w:ilvl w:val="0"/>
          <w:numId w:val="1004"/>
        </w:numPr>
        <w:pStyle w:val="Compact"/>
      </w:pPr>
      <w:r>
        <w:t xml:space="preserve">Of the counties in the top 10% of premiums in 2022, 89% were also top 10% in 2021, 69% in 2019, and 48% in 2015.</w:t>
      </w:r>
    </w:p>
    <w:p>
      <w:pPr>
        <w:numPr>
          <w:ilvl w:val="0"/>
          <w:numId w:val="1004"/>
        </w:numPr>
        <w:pStyle w:val="Compact"/>
      </w:pPr>
      <w:r>
        <w:t xml:space="preserve">A county’s 2019 premium predicts its 2022 premium with a slope of 0.88: high-premium markets kept about 90% of</w:t>
      </w:r>
      <w:r>
        <w:t xml:space="preserve"> </w:t>
      </w:r>
      <w:r>
        <w:t xml:space="preserve">their premium through the pandemic years.</w:t>
      </w:r>
    </w:p>
    <w:p>
      <w:pPr>
        <w:numPr>
          <w:ilvl w:val="0"/>
          <w:numId w:val="1004"/>
        </w:numPr>
        <w:pStyle w:val="Compact"/>
      </w:pPr>
      <w:r>
        <w:t xml:space="preserve">All ten recommended counties had a positive premium in every observed year from 2019 to 2022, and eight of them</w:t>
      </w:r>
      <w:r>
        <w:t xml:space="preserve"> </w:t>
      </w:r>
      <w:r>
        <w:t xml:space="preserve">had a premium of more than $75 a week already in 2019 (left chart and dots in the bar chart).</w:t>
      </w:r>
    </w:p>
    <w:p>
      <w:pPr>
        <w:pStyle w:val="FirstParagraph"/>
      </w:pPr>
      <w:r>
        <w:rPr>
          <w:b/>
        </w:rPr>
        <w:t xml:space="preserve">Caveat.</w:t>
      </w:r>
      <w:r>
        <w:t xml:space="preserve"> </w:t>
      </w:r>
      <w:r>
        <w:t xml:space="preserve">Year-to-year stability is partly mechanical. States run price surveys only every 2–3 years and the NDCP</w:t>
      </w:r>
      <w:r>
        <w:t xml:space="preserve"> </w:t>
      </w:r>
      <w:r>
        <w:t xml:space="preserve">interpolates between survey years, so adjacent years share data. The comparison over three or more years (2019 or</w:t>
      </w:r>
      <w:r>
        <w:t xml:space="preserve"> </w:t>
      </w:r>
      <w:r>
        <w:t xml:space="preserve">earlier vs. 2022) is the more honest test, and premiums still persist there.</w:t>
      </w:r>
    </w:p>
    <w:bookmarkEnd w:id="35"/>
    <w:bookmarkStart w:id="36" w:name="e-what-our-predictions-are-missing"/>
    <w:p>
      <w:pPr>
        <w:pStyle w:val="Heading2"/>
      </w:pPr>
      <w:r>
        <w:t xml:space="preserve">(e) What our predictions are missing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Competition and capacity.</w:t>
      </w:r>
      <w:r>
        <w:t xml:space="preserve"> </w:t>
      </w:r>
      <w:r>
        <w:t xml:space="preserve">We see prices, not supply. A high premium might mean unmet demand (good) or a</w:t>
      </w:r>
      <w:r>
        <w:t xml:space="preserve"> </w:t>
      </w:r>
      <w:r>
        <w:t xml:space="preserve">regulated, capacity-constrained market that is hard to enter (licensing waits, staff shortages). Next step:</w:t>
      </w:r>
      <w:r>
        <w:t xml:space="preserve"> </w:t>
      </w:r>
      <w:r>
        <w:t xml:space="preserve">number of licensed centers, slots per child, and waitlists by county.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Labor cost measurement, regulation and staffing ratios.</w:t>
      </w:r>
      <w:r>
        <w:t xml:space="preserve"> </w:t>
      </w:r>
      <w:r>
        <w:t xml:space="preserve">The OEWS wage we use covers childcare workers (SOC</w:t>
      </w:r>
      <w:r>
        <w:t xml:space="preserve"> </w:t>
      </w:r>
      <w:r>
        <w:t xml:space="preserve">39-9011) and excludes preschool teachers (SOC 25-2011), who staff many center classrooms and earn more. States with</w:t>
      </w:r>
      <w:r>
        <w:t xml:space="preserve"> </w:t>
      </w:r>
      <w:r>
        <w:t xml:space="preserve">strict staff-to-child ratios or credential rules (Minnesota is among the strictest) also raise labor cost</w:t>
      </w:r>
      <w:r>
        <w:t xml:space="preserve"> </w:t>
      </w:r>
      <w:r>
        <w:rPr>
          <w:i/>
        </w:rPr>
        <w:t xml:space="preserve">per</w:t>
      </w:r>
      <w:r>
        <w:rPr>
          <w:i/>
        </w:rPr>
        <w:t xml:space="preserve"> </w:t>
      </w:r>
      <w:r>
        <w:rPr>
          <w:i/>
        </w:rPr>
        <w:t xml:space="preserve">child</w:t>
      </w:r>
      <w:r>
        <w:t xml:space="preserve"> </w:t>
      </w:r>
      <w:r>
        <w:t xml:space="preserve">beyond the wage level we measure, so part of a Minnesota premium may be cost, not margin.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Commercial real estate.</w:t>
      </w:r>
      <w:r>
        <w:t xml:space="preserve"> </w:t>
      </w:r>
      <w:r>
        <w:t xml:space="preserve">We use residential median gross rent as a proxy; center costs depend on commercial</w:t>
      </w:r>
      <w:r>
        <w:t xml:space="preserve"> </w:t>
      </w:r>
      <w:r>
        <w:t xml:space="preserve">lease rates, zoning and outdoor-space requirements.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Missing markets.</w:t>
      </w:r>
      <w:r>
        <w:t xml:space="preserve"> </w:t>
      </w:r>
      <w:r>
        <w:t xml:space="preserve">The NDCP has no usable 2022 prices for Pennsylvania, Indiana, Missouri, New Mexico, Arkansas</w:t>
      </w:r>
      <w:r>
        <w:t xml:space="preserve"> </w:t>
      </w:r>
      <w:r>
        <w:t xml:space="preserve">and Puerto Rico (9.8% of the metro population, including Philadelphia, Pittsburgh, St. Louis, Indianapolis and</w:t>
      </w:r>
      <w:r>
        <w:t xml:space="preserve"> </w:t>
      </w:r>
      <w:r>
        <w:t xml:space="preserve">Kansas City), and DC has prices only for 2022. Some of these may be attractive; we cannot rank them.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Price measurement.</w:t>
      </w:r>
      <w:r>
        <w:t xml:space="preserve"> </w:t>
      </w:r>
      <w:r>
        <w:t xml:space="preserve">NDCP prices are posted median prices from state market-rate surveys, sometimes regional</w:t>
      </w:r>
      <w:r>
        <w:t xml:space="preserve"> </w:t>
      </w:r>
      <w:r>
        <w:t xml:space="preserve">rates and interpolated between survey years, not realized prices after discounts or subsidies.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Subsidy exposure.</w:t>
      </w:r>
      <w:r>
        <w:t xml:space="preserve"> </w:t>
      </w:r>
      <w:r>
        <w:t xml:space="preserve">In markets where many families use CCDF vouchers ($706/month in 2022, about $163 a week),</w:t>
      </w:r>
      <w:r>
        <w:t xml:space="preserve"> </w:t>
      </w:r>
      <w:r>
        <w:t xml:space="preserve">effective prices are capped by reimbursement rates; this matters less in our high-income top-10 counties.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Demand trends and quality mix.</w:t>
      </w:r>
      <w:r>
        <w:t xml:space="preserve"> </w:t>
      </w:r>
      <w:r>
        <w:t xml:space="preserve">Birth rates, in-migration of young families, return-to-office patterns, and</w:t>
      </w:r>
      <w:r>
        <w:t xml:space="preserve"> </w:t>
      </w:r>
      <w:r>
        <w:t xml:space="preserve">whether the premium reflects higher-quality (accredited) centers that would require matching quality.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Within-county location and the existing footprint</w:t>
      </w:r>
      <w:r>
        <w:t xml:space="preserve"> </w:t>
      </w:r>
      <w:r>
        <w:t xml:space="preserve">of our own centers and of competitors (e.g. Bright</w:t>
      </w:r>
      <w:r>
        <w:t xml:space="preserve"> </w:t>
      </w:r>
      <w:r>
        <w:t xml:space="preserve">Horizons sites already in Arlington or San Francisco).</w:t>
      </w:r>
    </w:p>
    <w:bookmarkEnd w:id="36"/>
    <w:bookmarkEnd w:id="37"/>
    <w:bookmarkStart w:id="38" w:name="appendix-data-handling-decisions"/>
    <w:p>
      <w:pPr>
        <w:pStyle w:val="Heading1"/>
      </w:pPr>
      <w:r>
        <w:t xml:space="preserve">Appendix: data-handling decisions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Metro sample:</w:t>
      </w:r>
      <w:r>
        <w:t xml:space="preserve"> </w:t>
      </w:r>
      <w:r>
        <w:t xml:space="preserve">counties whose year-specific</w:t>
      </w:r>
      <w:r>
        <w:t xml:space="preserve"> </w:t>
      </w:r>
      <w:r>
        <w:rPr>
          <w:rStyle w:val="VerbatimChar"/>
        </w:rPr>
        <w:t xml:space="preserve">oews_area</w:t>
      </w:r>
      <w:r>
        <w:t xml:space="preserve"> </w:t>
      </w:r>
      <w:r>
        <w:t xml:space="preserve">begins with</w:t>
      </w:r>
      <w:r>
        <w:t xml:space="preserve"> </w:t>
      </w:r>
      <w:r>
        <w:rPr>
          <w:rStyle w:val="VerbatimChar"/>
        </w:rPr>
        <w:t xml:space="preserve">00</w:t>
      </w:r>
      <w:r>
        <w:t xml:space="preserve">, applied as a hard rule. FIPS codes are</w:t>
      </w:r>
      <w:r>
        <w:t xml:space="preserve"> </w:t>
      </w:r>
      <w:r>
        <w:t xml:space="preserve">5-character and OEWS areas 7-character strings throughout.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Unit of analysis:</w:t>
      </w:r>
      <w:r>
        <w:t xml:space="preserve"> </w:t>
      </w:r>
      <w:r>
        <w:t xml:space="preserve">the county, including for the OEWS wage, which is published per metro area (every county in</w:t>
      </w:r>
      <w:r>
        <w:t xml:space="preserve"> </w:t>
      </w:r>
      <w:r>
        <w:t xml:space="preserve">an area receives that area’s wage).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Analysis dataset:</w:t>
      </w:r>
      <w:r>
        <w:t xml:space="preserve"> </w:t>
      </w:r>
      <w:r>
        <w:t xml:space="preserve">county-years with a non-missing preschool price and all predictors (998 counties in 2022).</w:t>
      </w:r>
      <w:r>
        <w:t xml:space="preserve"> </w:t>
      </w:r>
      <w:r>
        <w:t xml:space="preserve">Missing values are not imputed.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Prices:</w:t>
      </w:r>
      <w:r>
        <w:t xml:space="preserve"> </w:t>
      </w:r>
      <w:r>
        <w:t xml:space="preserve">NDCP</w:t>
      </w:r>
      <w:r>
        <w:t xml:space="preserve"> </w:t>
      </w:r>
      <w:r>
        <w:rPr>
          <w:rStyle w:val="VerbatimChar"/>
        </w:rPr>
        <w:t xml:space="preserve">MCPRESCHOOL</w:t>
      </w:r>
      <w:r>
        <w:t xml:space="preserve">, the median weekly full-time price of center-based preschool care (36–54 months),</w:t>
      </w:r>
      <w:r>
        <w:t xml:space="preserve"> </w:t>
      </w:r>
      <w:r>
        <w:t xml:space="preserve">2024 NDCP release. NDCP</w:t>
      </w:r>
      <w:r>
        <w:t xml:space="preserve"> </w:t>
      </w:r>
      <w:r>
        <w:rPr>
          <w:rStyle w:val="VerbatimChar"/>
        </w:rPr>
        <w:t xml:space="preserve">_flag</w:t>
      </w:r>
      <w:r>
        <w:t xml:space="preserve"> </w:t>
      </w:r>
      <w:r>
        <w:t xml:space="preserve">codes mark how age bands were combined, not imputation, so all prices are kept.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Wages:</w:t>
      </w:r>
      <w:r>
        <w:t xml:space="preserve"> </w:t>
      </w:r>
      <w:r>
        <w:t xml:space="preserve">OEWS</w:t>
      </w:r>
      <w:r>
        <w:t xml:space="preserve"> </w:t>
      </w:r>
      <w:r>
        <w:rPr>
          <w:rStyle w:val="VerbatimChar"/>
        </w:rPr>
        <w:t xml:space="preserve">A_MEAN</w:t>
      </w:r>
      <w:r>
        <w:t xml:space="preserve"> </w:t>
      </w:r>
      <w:r>
        <w:t xml:space="preserve">for SOC 39-9011; for 2015–2017 the aggregate-MSA (</w:t>
      </w:r>
      <w:r>
        <w:rPr>
          <w:rStyle w:val="VerbatimChar"/>
        </w:rPr>
        <w:t xml:space="preserve">aMSA_</w:t>
      </w:r>
      <w:r>
        <w:t xml:space="preserve">) workbook supplies the 11</w:t>
      </w:r>
      <w:r>
        <w:t xml:space="preserve"> </w:t>
      </w:r>
      <w:r>
        <w:t xml:space="preserve">largest metro areas, which the MSA file reports only by metropolitan division.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Inflation:</w:t>
      </w:r>
      <w:r>
        <w:t xml:space="preserve"> </w:t>
      </w:r>
      <w:r>
        <w:t xml:space="preserve">CPI-U (CUUR0000SA0) annual averages, verified against the BLS API; real $ = nominal × CPI₂₀₂₂ /</w:t>
      </w:r>
      <w:r>
        <w:t xml:space="preserve"> </w:t>
      </w:r>
      <w:r>
        <w:t xml:space="preserve">CPI_year.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Connecticut 2022:</w:t>
      </w:r>
      <w:r>
        <w:t xml:space="preserve"> </w:t>
      </w:r>
      <w:r>
        <w:t xml:space="preserve">the 2022 ACS reports Connecticut by planning region, so its 7 metro counties have no 2022 ACS</w:t>
      </w:r>
      <w:r>
        <w:t xml:space="preserve"> </w:t>
      </w:r>
      <w:r>
        <w:t xml:space="preserve">match and drop out of the 2022 analysis (1.2% of the metro population; not influential).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Legacy county codes</w:t>
      </w:r>
      <w:r>
        <w:t xml:space="preserve"> </w:t>
      </w:r>
      <w:r>
        <w:t xml:space="preserve">12025 (Dade) and 51515 (Bedford city) are duplicates of current codes and dropped.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Ranking parameters:</w:t>
      </w:r>
      <w:r>
        <w:t xml:space="preserve"> </w:t>
      </w:r>
      <w:r>
        <w:t xml:space="preserve">market-size screen of 5,000 children under 6 with all parents working; persistence over</w:t>
      </w:r>
      <w:r>
        <w:t xml:space="preserve"> </w:t>
      </w:r>
      <w:r>
        <w:t xml:space="preserve">2019–2022 counted on observed years (at least 3 of 4); ranking on the 2022 premium in real dollars.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Regional prices:</w:t>
      </w:r>
      <w:r>
        <w:t xml:space="preserve"> </w:t>
      </w:r>
      <w:r>
        <w:t xml:space="preserve">flagged with the number of other metro counties in the same state reporting an identical</w:t>
      </w:r>
      <w:r>
        <w:t xml:space="preserve"> </w:t>
      </w:r>
      <w:r>
        <w:t xml:space="preserve">2022 price; a county-specific-price ranking is reported as a robustness check.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Price-trend check:</w:t>
      </w:r>
      <w:r>
        <w:t xml:space="preserve"> </w:t>
      </w:r>
      <w:r>
        <w:t xml:space="preserve">counties whose nominal 2018–2022 price growth exceeds the 99th percentile of metro counties</w:t>
      </w:r>
      <w:r>
        <w:t xml:space="preserve"> </w:t>
      </w:r>
      <w:r>
        <w:t xml:space="preserve">(+55.5%) are flagged, because NDCP interpolates linearly between state surveys and an extreme trend may be</w:t>
      </w:r>
      <w:r>
        <w:t xml:space="preserve"> </w:t>
      </w:r>
      <w:r>
        <w:t xml:space="preserve">extrapolated. The ranking itself is unchanged; the flag sets the confidence tier.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Unweighted:</w:t>
      </w:r>
      <w:r>
        <w:t xml:space="preserve"> </w:t>
      </w:r>
      <w:r>
        <w:t xml:space="preserve">every county counts equally in the cost model, since counties are the units we choose among.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Some states have no NDCP price in a given year (e.g. Virginia, California, North Carolina and</w:t>
      </w:r>
      <w:r>
        <w:t xml:space="preserve"> </w:t>
      </w:r>
      <w:r>
        <w:t xml:space="preserve">Pennsylvania in 2021). Counting only observed years avoids excluding a county for missing data rather than for its</w:t>
      </w:r>
      <w:r>
        <w:t xml:space="preserve"> </w:t>
      </w:r>
      <w:r>
        <w:t xml:space="preserve">premium. DC, which has prices only for 2022, is excluded by the</w:t>
      </w:r>
      <w:r>
        <w:t xml:space="preserve"> </w:t>
      </w:r>
      <w:r>
        <w:t xml:space="preserve">“</w:t>
      </w:r>
      <w:r>
        <w:t xml:space="preserve">at least 3 of 4 years</w:t>
      </w:r>
      <w:r>
        <w:t xml:space="preserve">”</w:t>
      </w:r>
      <w:r>
        <w:t xml:space="preserve"> </w:t>
      </w:r>
      <w:r>
        <w:t xml:space="preserve">rule, although its 2022</w:t>
      </w:r>
      <w:r>
        <w:t xml:space="preserve"> </w:t>
      </w:r>
      <w:r>
        <w:t xml:space="preserve">premium (+$121 a week) would otherwise rank it sixth.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32021">
    <w:nsid w:val="47261bad"/>
    <w:multiLevelType w:val="multilevel"/>
    <w:lvl w:ilvl="0">
      <w:start w:val="2021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2021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2021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2021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2021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2021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2021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start w:val="2021"/>
      <w:numFmt w:val="decimal"/>
      <w:lvlText w:val="(%8)"/>
      <w:lvlJc w:val="left"/>
      <w:pPr>
        <w:tabs>
          <w:tab w:val="num" w:pos="5040"/>
        </w:tabs>
        <w:ind w:left="5520" w:hanging="480"/>
      </w:pPr>
    </w:lvl>
    <w:lvl w:ilvl="8">
      <w:start w:val="2021"/>
      <w:numFmt w:val="decimal"/>
      <w:lvlText w:val="(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32021"/>
    <w:lvlOverride w:ilvl="0">
      <w:startOverride w:val="2021"/>
    </w:lvlOverride>
    <w:lvlOverride w:ilvl="1">
      <w:startOverride w:val="2021"/>
    </w:lvlOverride>
    <w:lvlOverride w:ilvl="2">
      <w:startOverride w:val="2021"/>
    </w:lvlOverride>
    <w:lvlOverride w:ilvl="3">
      <w:startOverride w:val="2021"/>
    </w:lvlOverride>
    <w:lvlOverride w:ilvl="4">
      <w:startOverride w:val="2021"/>
    </w:lvlOverride>
    <w:lvlOverride w:ilvl="5">
      <w:startOverride w:val="2021"/>
    </w:lvlOverride>
    <w:lvlOverride w:ilvl="6">
      <w:startOverride w:val="2021"/>
    </w:lvlOverride>
    <w:lvlOverride w:ilvl="7">
      <w:startOverride w:val="2021"/>
    </w:lvlOverride>
    <w:lvlOverride w:ilvl="8">
      <w:startOverride w:val="202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1"/>
        <w:szCs w:val="21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F1F1F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1F1F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1F1F1F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1F1F1F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1F1F1F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1F1F1F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F1F1F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1F1F1F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40" w:line="240" w:lineRule="auto"/>
    </w:pPr>
    <w:rPr>
      <w:color w:val="595959"/>
      <w:sz w:val="17"/>
      <w:szCs w:val="17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8" w:space="0" w:color="52514E"/>
        <w:bottom w:val="single" w:sz="8" w:space="0" w:color="52514E"/>
        <w:insideH w:val="single" w:sz="4" w:space="0" w:color="D9D8D4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F1F1F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1F1F1F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hyperlink" Id="rId20" Target="https://github.com/ignaciosanur/mgt403-childcare-project-green-cohort-7b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0" Target="https://github.com/ignaciosanur/mgt403-childcare-project-green-cohort-7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MGT 403 — Final Project: Where Should We Open Our Next Center-Based Preschools?</dc:title>
  <dc:creator/>
  <cp:keywords/>
  <dcterms:created xsi:type="dcterms:W3CDTF">2026-10-13T01:25:02Z</dcterms:created>
  <dcterms:modified xsi:type="dcterms:W3CDTF">2026-10-13T01:25:02Z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Team: Ignacio Sanchez Urdaneta · Beck Jamilov · Claudia Palacios Surco · Gary Chen</vt:lpwstr>
  </property>
</Properties>
</file>