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Handling</w:t>
      </w:r>
      <w:r>
        <w:t xml:space="preserve"> </w:t>
      </w:r>
      <w:r>
        <w:t xml:space="preserve">Non-Applicable</w:t>
      </w:r>
      <w:r>
        <w:t xml:space="preserve"> </w:t>
      </w:r>
      <w:r>
        <w:t xml:space="preserve">Survey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POL</w:t>
      </w:r>
      <w:r>
        <w:t xml:space="preserve"> </w:t>
      </w:r>
      <w:r>
        <w:t xml:space="preserve">501</w:t>
      </w:r>
    </w:p>
    <w:p>
      <w:pPr>
        <w:pStyle w:val="Date"/>
      </w:pPr>
      <w:r>
        <w:t xml:space="preserve">2024-11-26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X88b1ba980b076fbd8a94b7bc6e289b269b81f2c"/>
    <w:p>
      <w:pPr>
        <w:pStyle w:val="Heading3"/>
      </w:pPr>
      <w:r>
        <w:rPr>
          <w:b/>
          <w:bCs/>
        </w:rPr>
        <w:t xml:space="preserve">Defining Non-Applicable Values in the Survey Context</w:t>
      </w:r>
    </w:p>
    <w:p>
      <w:pPr>
        <w:pStyle w:val="FirstParagraph"/>
      </w:pPr>
      <w:r>
        <w:t xml:space="preserve">In survey data,</w:t>
      </w:r>
      <w:r>
        <w:t xml:space="preserve"> </w:t>
      </w:r>
      <w:r>
        <w:rPr>
          <w:b/>
          <w:bCs/>
        </w:rPr>
        <w:t xml:space="preserve">non-applicable values</w:t>
      </w:r>
      <w:r>
        <w:t xml:space="preserve"> </w:t>
      </w:r>
      <w:r>
        <w:t xml:space="preserve">are responses that do not provide meaningful information for analysis. These values typically represent cases where a question was skipped, the respondent didn’t understand or chose not to answer, or the response is irrelevant due to the survey’s flow logic.</w:t>
      </w:r>
    </w:p>
    <w:p>
      <w:pPr>
        <w:pStyle w:val="BodyText"/>
      </w:pPr>
      <w:r>
        <w:t xml:space="preserve">Here are common types of non-applicable values in a survey context:</w:t>
      </w:r>
    </w:p>
    <w:p>
      <w:r>
        <w:pict>
          <v:rect style="width:0;height:1.5pt" o:hralign="center" o:hrstd="t" o:hr="t"/>
        </w:pict>
      </w:r>
    </w:p>
    <w:bookmarkStart w:id="20" w:name="skipped-responses"/>
    <w:p>
      <w:pPr>
        <w:pStyle w:val="Heading4"/>
      </w:pPr>
      <w:r>
        <w:rPr>
          <w:b/>
          <w:bCs/>
        </w:rPr>
        <w:t xml:space="preserve">1. Skipped Responses</w:t>
      </w:r>
    </w:p>
    <w:p>
      <w:pPr>
        <w:pStyle w:val="Compact"/>
        <w:numPr>
          <w:ilvl w:val="0"/>
          <w:numId w:val="1001"/>
        </w:numPr>
      </w:pPr>
      <w:r>
        <w:t xml:space="preserve">Represented by negative integers or large numbers.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-1</w:t>
      </w:r>
      <w:r>
        <w:t xml:space="preserve">: Legitimate skip (e.g., the question did not apply to the respondent due to routing logic).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-7</w:t>
      </w:r>
      <w:r>
        <w:t xml:space="preserve">: Refusal to answer.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-9</w:t>
      </w:r>
      <w:r>
        <w:t xml:space="preserve">: Missing data for unknown reasons.</w:t>
      </w:r>
    </w:p>
    <w:bookmarkEnd w:id="20"/>
    <w:bookmarkStart w:id="21" w:name="Xb6e8a0aba879675ecddda2ec6c15c7b360df4e9"/>
    <w:p>
      <w:pPr>
        <w:pStyle w:val="Heading4"/>
      </w:pPr>
      <w:r>
        <w:rPr>
          <w:b/>
          <w:bCs/>
        </w:rPr>
        <w:t xml:space="preserve">2. Placeholder Codes for Missing or Irrelevant Responses</w:t>
      </w:r>
    </w:p>
    <w:p>
      <w:pPr>
        <w:pStyle w:val="Compact"/>
        <w:numPr>
          <w:ilvl w:val="0"/>
          <w:numId w:val="1003"/>
        </w:numPr>
      </w:pPr>
      <w:r>
        <w:t xml:space="preserve">Large numbers are often used as placeholders.</w:t>
      </w:r>
    </w:p>
    <w:p>
      <w:pPr>
        <w:pStyle w:val="Compact"/>
        <w:numPr>
          <w:ilvl w:val="0"/>
          <w:numId w:val="1003"/>
        </w:numPr>
      </w:pPr>
      <w:r>
        <w:t xml:space="preserve">Examples: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97</w:t>
      </w:r>
      <w:r>
        <w:t xml:space="preserve">: Not applicable.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98</w:t>
      </w:r>
      <w:r>
        <w:t xml:space="preserve">: Don’t know.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99</w:t>
      </w:r>
      <w:r>
        <w:t xml:space="preserve">: Prefer not to say.</w:t>
      </w:r>
    </w:p>
    <w:bookmarkEnd w:id="21"/>
    <w:bookmarkStart w:id="22" w:name="irrelevant-responses"/>
    <w:p>
      <w:pPr>
        <w:pStyle w:val="Heading4"/>
      </w:pPr>
      <w:r>
        <w:rPr>
          <w:b/>
          <w:bCs/>
        </w:rPr>
        <w:t xml:space="preserve">3. Irrelevant Responses</w:t>
      </w:r>
    </w:p>
    <w:p>
      <w:pPr>
        <w:pStyle w:val="Compact"/>
        <w:numPr>
          <w:ilvl w:val="0"/>
          <w:numId w:val="1005"/>
        </w:numPr>
      </w:pPr>
      <w:r>
        <w:t xml:space="preserve">These may include codes used for respondents whose answers are logically unrelated to the question.</w:t>
      </w:r>
    </w:p>
    <w:p>
      <w:pPr>
        <w:pStyle w:val="Compact"/>
        <w:numPr>
          <w:ilvl w:val="0"/>
          <w:numId w:val="1005"/>
        </w:numPr>
      </w:pPr>
      <w:r>
        <w:t xml:space="preserve">For example, a respondent who answered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to a question about being employed may skip a question about job satisfaction.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X6687205d98d84cb728d93b308356b5ed8ac2537"/>
    <w:p>
      <w:pPr>
        <w:pStyle w:val="Heading3"/>
      </w:pPr>
      <w:r>
        <w:rPr>
          <w:b/>
          <w:bCs/>
        </w:rPr>
        <w:t xml:space="preserve">Why Transform Non-Applicable Values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NA</w:t>
      </w:r>
      <w:r>
        <w:rPr>
          <w:b/>
          <w:bCs/>
        </w:rPr>
        <w:t xml:space="preserve">?</w:t>
      </w:r>
    </w:p>
    <w:p>
      <w:pPr>
        <w:pStyle w:val="Compact"/>
        <w:numPr>
          <w:ilvl w:val="0"/>
          <w:numId w:val="1006"/>
        </w:numPr>
      </w:pPr>
      <w:r>
        <w:t xml:space="preserve">Non-applicable values are</w:t>
      </w:r>
      <w:r>
        <w:t xml:space="preserve"> </w:t>
      </w:r>
      <w:r>
        <w:rPr>
          <w:b/>
          <w:bCs/>
        </w:rPr>
        <w:t xml:space="preserve">not numerical data</w:t>
      </w:r>
      <w:r>
        <w:t xml:space="preserve"> </w:t>
      </w:r>
      <w:r>
        <w:t xml:space="preserve">but placeholders.</w:t>
      </w:r>
    </w:p>
    <w:p>
      <w:pPr>
        <w:pStyle w:val="Compact"/>
        <w:numPr>
          <w:ilvl w:val="0"/>
          <w:numId w:val="1006"/>
        </w:numPr>
      </w:pPr>
      <w:r>
        <w:t xml:space="preserve">Leaving them as-is can distort analysis:</w:t>
      </w:r>
    </w:p>
    <w:p>
      <w:pPr>
        <w:pStyle w:val="Compact"/>
        <w:numPr>
          <w:ilvl w:val="1"/>
          <w:numId w:val="1007"/>
        </w:numPr>
      </w:pPr>
      <w:r>
        <w:t xml:space="preserve">Inflates means or sums.</w:t>
      </w:r>
    </w:p>
    <w:p>
      <w:pPr>
        <w:pStyle w:val="Compact"/>
        <w:numPr>
          <w:ilvl w:val="1"/>
          <w:numId w:val="1007"/>
        </w:numPr>
      </w:pPr>
      <w:r>
        <w:t xml:space="preserve">Causes errors in functions like regression or ANOVA.</w:t>
      </w:r>
    </w:p>
    <w:p>
      <w:pPr>
        <w:pStyle w:val="Compact"/>
        <w:numPr>
          <w:ilvl w:val="0"/>
          <w:numId w:val="1006"/>
        </w:numPr>
      </w:pPr>
      <w:r>
        <w:t xml:space="preserve">Replacing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allows R to ignore these values (e.g., using</w:t>
      </w:r>
      <w:r>
        <w:t xml:space="preserve"> </w:t>
      </w:r>
      <w:r>
        <w:rPr>
          <w:rStyle w:val="VerbatimChar"/>
        </w:rPr>
        <w:t xml:space="preserve">na.rm = TRUE</w:t>
      </w:r>
      <w:r>
        <w:t xml:space="preserve">).</w:t>
      </w:r>
    </w:p>
    <w:bookmarkEnd w:id="24"/>
    <w:bookmarkStart w:id="25" w:name="typical-handling-in-r"/>
    <w:p>
      <w:pPr>
        <w:pStyle w:val="Heading3"/>
      </w:pPr>
      <w:r>
        <w:rPr>
          <w:b/>
          <w:bCs/>
        </w:rPr>
        <w:t xml:space="preserve">Typical Handling in R</w:t>
      </w:r>
    </w:p>
    <w:p>
      <w:pPr>
        <w:pStyle w:val="Compact"/>
        <w:numPr>
          <w:ilvl w:val="0"/>
          <w:numId w:val="1008"/>
        </w:numPr>
      </w:pPr>
      <w:r>
        <w:t xml:space="preserve">Identify the non-applicable values specific to the survey (e.g.,</w:t>
      </w:r>
      <w:r>
        <w:t xml:space="preserve"> </w:t>
      </w:r>
      <w:r>
        <w:rPr>
          <w:rStyle w:val="VerbatimChar"/>
        </w:rPr>
        <w:t xml:space="preserve">-1</w:t>
      </w:r>
      <w:r>
        <w:t xml:space="preserve">,</w:t>
      </w:r>
      <w:r>
        <w:t xml:space="preserve"> </w:t>
      </w:r>
      <w:r>
        <w:rPr>
          <w:rStyle w:val="VerbatimChar"/>
        </w:rPr>
        <w:t xml:space="preserve">97</w:t>
      </w:r>
      <w:r>
        <w:t xml:space="preserve">, etc.).</w:t>
      </w:r>
    </w:p>
    <w:p>
      <w:pPr>
        <w:pStyle w:val="Compact"/>
        <w:numPr>
          <w:ilvl w:val="0"/>
          <w:numId w:val="1008"/>
        </w:numPr>
      </w:pPr>
      <w:r>
        <w:t xml:space="preserve">Replace them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for compatibility with analytical functions.</w:t>
      </w:r>
    </w:p>
    <w:bookmarkEnd w:id="25"/>
    <w:bookmarkStart w:id="26" w:name="mock-dataset"/>
    <w:p>
      <w:pPr>
        <w:pStyle w:val="Heading2"/>
      </w:pPr>
      <w:r>
        <w:t xml:space="preserve">Mock Dataset</w:t>
      </w:r>
    </w:p>
    <w:p>
      <w:pPr>
        <w:pStyle w:val="FirstParagraph"/>
      </w:pPr>
      <w:r>
        <w:t xml:space="preserve">We simulate a survey dataset with non-applicable values such as</w:t>
      </w:r>
      <w:r>
        <w:t xml:space="preserve"> </w:t>
      </w:r>
      <w:r>
        <w:rPr>
          <w:rStyle w:val="VerbatimChar"/>
        </w:rPr>
        <w:t xml:space="preserve">-1</w:t>
      </w:r>
      <w:r>
        <w:t xml:space="preserve">,</w:t>
      </w:r>
      <w:r>
        <w:t xml:space="preserve"> </w:t>
      </w:r>
      <w:r>
        <w:rPr>
          <w:rStyle w:val="VerbatimChar"/>
        </w:rPr>
        <w:t xml:space="preserve">-7</w:t>
      </w:r>
      <w:r>
        <w:t xml:space="preserve">,</w:t>
      </w:r>
      <w:r>
        <w:t xml:space="preserve"> </w:t>
      </w:r>
      <w:r>
        <w:rPr>
          <w:rStyle w:val="VerbatimChar"/>
        </w:rPr>
        <w:t xml:space="preserve">97</w:t>
      </w:r>
      <w:r>
        <w:t xml:space="preserve">,</w:t>
      </w:r>
      <w:r>
        <w:t xml:space="preserve"> </w:t>
      </w:r>
      <w:r>
        <w:rPr>
          <w:rStyle w:val="VerbatimChar"/>
        </w:rPr>
        <w:t xml:space="preserve">98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99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Create a mock dataset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survey_data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respondent_id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support_abortion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religion_importance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vote_intent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unique values in columns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support_abortion)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-7 -1  1  2  3  5 98 </w:t>
      </w:r>
      <w:r>
        <w:br/>
      </w:r>
      <w:r>
        <w:rPr>
          <w:rStyle w:val="VerbatimChar"/>
        </w:rPr>
        <w:t xml:space="preserve">##  4  2  2  3  6  1  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(survey_data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religion_importance)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99 </w:t>
      </w:r>
      <w:r>
        <w:br/>
      </w:r>
      <w:r>
        <w:rPr>
          <w:rStyle w:val="VerbatimChar"/>
        </w:rPr>
        <w:t xml:space="preserve">##  6  3  3  3  3  2</w:t>
      </w:r>
    </w:p>
    <w:bookmarkEnd w:id="26"/>
    <w:bookmarkStart w:id="27" w:name="replace-non-applicable-values-with-na"/>
    <w:p>
      <w:pPr>
        <w:pStyle w:val="Heading2"/>
      </w:pPr>
      <w:r>
        <w:t xml:space="preserve">Replace Non-Applicable Values with NA</w:t>
      </w:r>
    </w:p>
    <w:p>
      <w:pPr>
        <w:pStyle w:val="FirstParagraph"/>
      </w:pPr>
      <w:r>
        <w:t xml:space="preserve">We transform non-applicable values (</w:t>
      </w:r>
      <w:r>
        <w:rPr>
          <w:rStyle w:val="VerbatimChar"/>
        </w:rPr>
        <w:t xml:space="preserve">-1</w:t>
      </w:r>
      <w:r>
        <w:t xml:space="preserve">,</w:t>
      </w:r>
      <w:r>
        <w:t xml:space="preserve"> </w:t>
      </w:r>
      <w:r>
        <w:rPr>
          <w:rStyle w:val="VerbatimChar"/>
        </w:rPr>
        <w:t xml:space="preserve">-7</w:t>
      </w:r>
      <w:r>
        <w:t xml:space="preserve">,</w:t>
      </w:r>
      <w:r>
        <w:t xml:space="preserve"> </w:t>
      </w:r>
      <w:r>
        <w:rPr>
          <w:rStyle w:val="VerbatimChar"/>
        </w:rPr>
        <w:t xml:space="preserve">97</w:t>
      </w:r>
      <w:r>
        <w:t xml:space="preserve">,</w:t>
      </w:r>
      <w:r>
        <w:t xml:space="preserve"> </w:t>
      </w:r>
      <w:r>
        <w:rPr>
          <w:rStyle w:val="VerbatimChar"/>
        </w:rPr>
        <w:t xml:space="preserve">98</w:t>
      </w:r>
      <w:r>
        <w:t xml:space="preserve">,</w:t>
      </w:r>
      <w:r>
        <w:t xml:space="preserve"> </w:t>
      </w:r>
      <w:r>
        <w:rPr>
          <w:rStyle w:val="VerbatimChar"/>
        </w:rPr>
        <w:t xml:space="preserve">99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Define non-applicable values</w:t>
      </w:r>
      <w:r>
        <w:br/>
      </w:r>
      <w:r>
        <w:rPr>
          <w:rStyle w:val="NormalTok"/>
        </w:rPr>
        <w:t xml:space="preserve">non_applicable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Replace non-applicable values with NA</w:t>
      </w:r>
      <w:r>
        <w:br/>
      </w:r>
      <w:r>
        <w:rPr>
          <w:rStyle w:val="NormalTok"/>
        </w:rPr>
        <w:t xml:space="preserve">survey_data_clean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support_abortion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(support_abortion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non_applicable,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support_abortion),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religion_importance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(religion_importance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non_applicable,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religion_importance)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View cleaned data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(survey_data_clean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support_abortion))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12     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(survey_data_clean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religion_importance))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18     2</w:t>
      </w:r>
    </w:p>
    <w:bookmarkEnd w:id="27"/>
    <w:bookmarkStart w:id="28" w:name="handling-na-in-analysis"/>
    <w:p>
      <w:pPr>
        <w:pStyle w:val="Heading2"/>
      </w:pPr>
      <w:r>
        <w:t xml:space="preserve">Handling NA in Analysis</w:t>
      </w:r>
    </w:p>
    <w:p>
      <w:pPr>
        <w:pStyle w:val="FirstParagraph"/>
      </w:pPr>
      <w:r>
        <w:t xml:space="preserve">With non-applicable values converted to</w:t>
      </w:r>
      <w:r>
        <w:t xml:space="preserve"> </w:t>
      </w:r>
      <w:r>
        <w:rPr>
          <w:rStyle w:val="VerbatimChar"/>
        </w:rPr>
        <w:t xml:space="preserve">NA</w:t>
      </w:r>
      <w:r>
        <w:t xml:space="preserve">, functions like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can now exclude them using</w:t>
      </w:r>
      <w:r>
        <w:t xml:space="preserve"> </w:t>
      </w:r>
      <w:r>
        <w:rPr>
          <w:rStyle w:val="VerbatimChar"/>
        </w:rPr>
        <w:t xml:space="preserve">na.rm = TRUE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Example: Mean of support_abortion</w:t>
      </w:r>
      <w:r>
        <w:br/>
      </w:r>
      <w:r>
        <w:rPr>
          <w:rStyle w:val="NormalTok"/>
        </w:rPr>
        <w:t xml:space="preserve">mean_support_abortion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(survey_data_clean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support_abortion,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mean_support_abortion</w:t>
      </w:r>
    </w:p>
    <w:p>
      <w:pPr>
        <w:pStyle w:val="SourceCode"/>
      </w:pPr>
      <w:r>
        <w:rPr>
          <w:rStyle w:val="VerbatimChar"/>
        </w:rPr>
        <w:t xml:space="preserve">## [1] 2.583333</w:t>
      </w:r>
    </w:p>
    <w:p>
      <w:pPr>
        <w:pStyle w:val="SourceCode"/>
      </w:pPr>
      <w:r>
        <w:rPr>
          <w:rStyle w:val="CommentTok"/>
        </w:rPr>
        <w:t xml:space="preserve"># Example: Mean of religion_importance</w:t>
      </w:r>
      <w:r>
        <w:br/>
      </w:r>
      <w:r>
        <w:rPr>
          <w:rStyle w:val="NormalTok"/>
        </w:rPr>
        <w:t xml:space="preserve">mean_religion_importance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(survey_data_clean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religion_importance,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mean_religion_importance</w:t>
      </w:r>
    </w:p>
    <w:p>
      <w:pPr>
        <w:pStyle w:val="SourceCode"/>
      </w:pPr>
      <w:r>
        <w:rPr>
          <w:rStyle w:val="VerbatimChar"/>
        </w:rPr>
        <w:t xml:space="preserve">## [1] 2.666667</w:t>
      </w:r>
    </w:p>
    <w:bookmarkEnd w:id="28"/>
    <w:bookmarkStart w:id="29" w:name="explanation-of-mutate-logic"/>
    <w:p>
      <w:pPr>
        <w:pStyle w:val="Heading2"/>
      </w:pPr>
      <w:r>
        <w:t xml:space="preserve">Explanation of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Logic: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  <w:b/>
          <w:bCs/>
        </w:rPr>
        <w:t xml:space="preserve">mutate()</w:t>
      </w:r>
      <w:r>
        <w:t xml:space="preserve">: Adds or modifies columns in a data frame.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  <w:b/>
          <w:bCs/>
        </w:rPr>
        <w:t xml:space="preserve">ifelse()</w:t>
      </w:r>
      <w:r>
        <w:t xml:space="preserve">: Replaces values matching the condition (</w:t>
      </w:r>
      <w:r>
        <w:rPr>
          <w:rStyle w:val="VerbatimChar"/>
        </w:rPr>
        <w:t xml:space="preserve">%in% non_applicable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. Values not matching remain unchanged.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  <w:b/>
          <w:bCs/>
        </w:rPr>
        <w:t xml:space="preserve">%in%</w:t>
      </w:r>
      <w:r>
        <w:t xml:space="preserve">: Checks if a value exists in the</w:t>
      </w:r>
      <w:r>
        <w:t xml:space="preserve"> </w:t>
      </w:r>
      <w:r>
        <w:rPr>
          <w:rStyle w:val="VerbatimChar"/>
        </w:rPr>
        <w:t xml:space="preserve">non_applicable</w:t>
      </w:r>
      <w:r>
        <w:t xml:space="preserve"> </w:t>
      </w:r>
      <w:r>
        <w:t xml:space="preserve">list.</w:t>
      </w:r>
    </w:p>
    <w:p>
      <w:pPr>
        <w:pStyle w:val="FirstParagraph"/>
      </w:pPr>
      <w:r>
        <w:t xml:space="preserve">With this setup, non-applicable values are now consistently handled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, making them compatible with R’s analysis functions.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Non-Applicable Survey Values</dc:title>
  <dc:creator>POL 501</dc:creator>
  <cp:keywords/>
  <dcterms:created xsi:type="dcterms:W3CDTF">2024-11-26T21:14:29Z</dcterms:created>
  <dcterms:modified xsi:type="dcterms:W3CDTF">2024-11-26T21:14:29Z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2024-11-26</vt:lpwstr>
  </property>
  <property fmtid="{D5CDD505-2E9C-101B-9397-08002B2CF9AE}" pid="3" name="geometry">
    <vt:lpwstr>left=1in,right=1in,top=1in,bottom=1in</vt:lpwstr>
  </property>
  <property fmtid="{D5CDD505-2E9C-101B-9397-08002B2CF9AE}" pid="4" name="output">
    <vt:lpwstr/>
  </property>
</Properties>
</file>