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b/>
          <w:bCs/>
          <w:color w:val="595959"/>
          <w:sz w:val="22"/>
          <w:szCs w:val="22"/>
        </w:rPr>
        <w:t xml:space="preserve">TECH FEST 2026 · Tecnológico de Monterrey, Campus Hidalgo</w:t>
      </w:r>
    </w:p>
    <w:p>
      <w:pPr>
        <w:spacing w:after="80" w:before="240"/>
        <w:jc w:val="center"/>
      </w:pPr>
      <w:r>
        <w:rPr>
          <w:b/>
          <w:bCs/>
          <w:color w:val="000000"/>
          <w:spacing w:val="60"/>
          <w:sz w:val="52"/>
          <w:szCs w:val="52"/>
        </w:rPr>
        <w:t xml:space="preserve">REGLAMENTO</w:t>
      </w:r>
    </w:p>
    <w:p>
      <w:pPr>
        <w:spacing w:after="60"/>
        <w:jc w:val="center"/>
      </w:pPr>
      <w:r>
        <w:rPr>
          <w:b/>
          <w:bCs/>
          <w:color w:val="5A00BA"/>
          <w:sz w:val="32"/>
          <w:szCs w:val="32"/>
        </w:rPr>
        <w:t xml:space="preserve">NEXUS CHALLENGE 2026: SPACE EXPLORATION</w:t>
      </w:r>
    </w:p>
    <w:p>
      <w:pPr>
        <w:pBdr>
          <w:bottom w:val="single" w:color="5A00BA" w:sz="12" w:space="8"/>
        </w:pBdr>
        <w:spacing w:after="280"/>
        <w:jc w:val="center"/>
      </w:pPr>
      <w:r>
        <w:rPr>
          <w:color w:val="7B15E8"/>
          <w:sz w:val="22"/>
          <w:szCs w:val="22"/>
        </w:rPr>
        <w:t xml:space="preserve">Manual de Juego y Reglamento Oficial de Competencia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EEE5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 xml:space="preserve">Dato</w:t>
            </w:r>
          </w:p>
        </w:tc>
        <w:tc>
          <w:tcPr>
            <w:tcW w:type="dxa" w:w="66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EEE5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</w:rPr>
              <w:t xml:space="preserve">Fecha del evento</w:t>
            </w:r>
          </w:p>
        </w:tc>
        <w:tc>
          <w:tcPr>
            <w:tcW w:type="dxa" w:w="66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t xml:space="preserve">5 de diciembre de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</w:rPr>
              <w:t xml:space="preserve">Sede</w:t>
            </w:r>
          </w:p>
        </w:tc>
        <w:tc>
          <w:tcPr>
            <w:tcW w:type="dxa" w:w="66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t xml:space="preserve">Tecnológico de Monterrey, Campus Hidalgo (TECH FEST 2026)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</w:rPr>
              <w:t xml:space="preserve">Organiza</w:t>
            </w:r>
          </w:p>
        </w:tc>
        <w:tc>
          <w:tcPr>
            <w:tcW w:type="dxa" w:w="66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t xml:space="preserve">Equipo de robótica Keybot - 5716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rPr>
                <w:b/>
                <w:bCs/>
              </w:rPr>
              <w:t xml:space="preserve">Dirigido a</w:t>
            </w:r>
          </w:p>
        </w:tc>
        <w:tc>
          <w:tcPr>
            <w:tcW w:type="dxa" w:w="66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Estudiantes de 5.º y 6.º de primaria, y de 1.º a 3.º de secundaria</w:t>
            </w:r>
          </w:p>
        </w:tc>
      </w:tr>
    </w:tbl>
    <w:p>
      <w:pPr>
        <w:pStyle w:val="AfterTable"/>
      </w:pPr>
    </w:p>
    <w:p>
      <w:pPr>
        <w:pStyle w:val="Heading2"/>
      </w:pPr>
      <w:r>
        <w:t xml:space="preserve">1. Filosofía, identidad y espíritu Nexus</w:t>
      </w:r>
    </w:p>
    <w:p>
      <w:r>
        <w:t xml:space="preserve">El reto Nexus Challenge 2026: Space Exploration tiene como objetivo acercar a niñas, niños y jóvenes a la robótica aplicada mediante un formato colaborativo y formativo inspirado directamente en los principios de la robótica competitiva.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 principio del reto:</w:t>
      </w:r>
      <w:r>
        <w:t xml:space="preserve"> un robot básico debe ser capaz de participar y aportar puntos; un robot avanzado debe poder resolver retos mecánicos complejos; una buena alianza debe lograr resultados que un robot solo jamás alcanzaría.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Espíritu y colaboración competitiva:</w:t>
      </w:r>
      <w:r>
        <w:t xml:space="preserve"> se promueve la competencia profesional, el respeto hacia rivales y árbitros, y el trabajo colaborativo en pits y cancha.</w:t>
      </w:r>
    </w:p>
    <w:p>
      <w:pPr>
        <w:pStyle w:val="Heading2"/>
      </w:pPr>
      <w:r>
        <w:t xml:space="preserve">2. Estructura competitiva y formato de torneo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Equipos:</w:t>
      </w:r>
      <w:r>
        <w:t xml:space="preserve"> cada equipo se conforma de 4 a 5 estudiantes, acompañados por 1 coach o mentor adulto.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Divisiones:</w:t>
      </w:r>
      <w:r>
        <w:t xml:space="preserve"> Primaria (5.º y 6.º) y Secundaria (1.º a 3.º).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Alianzas 2 vs. 2:</w:t>
      </w:r>
      <w:r>
        <w:t xml:space="preserve"> en cada match se enfrentan dos alianzas: Blue Alliance (2 robots) vs. Yellow Alliance (2 robots).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Ronda clasificatoria (Qualifiers):</w:t>
      </w:r>
    </w:p>
    <w:p>
      <w:pPr>
        <w:pStyle w:val="ListParagraph"/>
        <w:numPr>
          <w:ilvl w:val="1"/>
          <w:numId w:val="3"/>
        </w:numPr>
      </w:pPr>
      <w:r>
        <w:t xml:space="preserve">Cada equipo jugará un mínimo de 5 matches clasificatorios.</w:t>
      </w:r>
    </w:p>
    <w:p>
      <w:pPr>
        <w:pStyle w:val="ListParagraph"/>
        <w:numPr>
          <w:ilvl w:val="1"/>
          <w:numId w:val="3"/>
        </w:numPr>
      </w:pPr>
      <w:r>
        <w:t xml:space="preserve">El sistema de emparejamiento busca maximizar alianzas mixtas (Primaria + Secundaria), evitar repetir compañeros de alianza y equilibrar los tiempos de descanso en pits.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Sistema de ranking oficial:</w:t>
      </w:r>
    </w:p>
    <w:p>
      <w:pPr>
        <w:pStyle w:val="ListParagraph"/>
        <w:numPr>
          <w:ilvl w:val="1"/>
          <w:numId w:val="4"/>
        </w:numPr>
      </w:pPr>
      <w:r>
        <w:t xml:space="preserve">Ranking Points (RP) por match: victoria = 2 RP, empate = 1 RP, derrota = 0 RP.</w:t>
      </w:r>
    </w:p>
    <w:p>
      <w:pPr>
        <w:pStyle w:val="ListParagraph"/>
        <w:numPr>
          <w:ilvl w:val="1"/>
          <w:numId w:val="4"/>
        </w:numPr>
      </w:pPr>
      <w:r>
        <w:t xml:space="preserve">Primer criterio de desempate (TB1): promedio acumulado de puntuación total de alianza.</w:t>
      </w:r>
    </w:p>
    <w:p>
      <w:pPr>
        <w:pStyle w:val="ListParagraph"/>
        <w:numPr>
          <w:ilvl w:val="1"/>
          <w:numId w:val="4"/>
        </w:numPr>
      </w:pPr>
      <w:r>
        <w:t xml:space="preserve">Segundo criterio de desempate (TB2): promedio de puntos obtenidos por cubos en plataforma.</w:t>
      </w:r>
    </w:p>
    <w:p>
      <w:pPr>
        <w:pStyle w:val="ListParagraph"/>
        <w:numPr>
          <w:ilvl w:val="1"/>
          <w:numId w:val="4"/>
        </w:numPr>
      </w:pPr>
      <w:r>
        <w:t xml:space="preserve">Tercer criterio de desempate (TB3): promedio de puntos obtenidos por estacionamiento en Endgame.</w:t>
      </w:r>
    </w:p>
    <w:p>
      <w:pPr>
        <w:pStyle w:val="ListParagraph"/>
        <w:numPr>
          <w:ilvl w:val="1"/>
          <w:numId w:val="4"/>
        </w:numPr>
      </w:pPr>
      <w:r>
        <w:t xml:space="preserve">Cuarto criterio de desempate (TB4): promedio de puntos obtenidos por pelotas en bahía de carga.</w:t>
      </w:r>
    </w:p>
    <w:p>
      <w:pPr>
        <w:pStyle w:val="ListParagraph"/>
        <w:numPr>
          <w:ilvl w:val="1"/>
          <w:numId w:val="4"/>
        </w:numPr>
      </w:pPr>
      <w:r>
        <w:t xml:space="preserve">Quinto criterio de desempate (TB5): ganadores en el lanzamiento de una moneda.</w:t>
      </w:r>
    </w:p>
    <w:p>
      <w:pPr>
        <w:pStyle w:val="Heading2"/>
      </w:pPr>
      <w:r>
        <w:t xml:space="preserve">3. La dinámica del match (90 segundos)</w:t>
      </w:r>
    </w:p>
    <w:p>
      <w:r>
        <w:t xml:space="preserve">Cada partida tiene una duración exacta de 1 minuto y 30 segundos (90 s), completamente teleoperada mediante Bluetooth.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Fase de misión (0:00 a 1:15 / 75 segundos):</w:t>
      </w:r>
    </w:p>
    <w:p>
      <w:pPr>
        <w:pStyle w:val="ListParagraph"/>
        <w:numPr>
          <w:ilvl w:val="1"/>
          <w:numId w:val="5"/>
        </w:numPr>
      </w:pPr>
      <w:r>
        <w:t xml:space="preserve">Salida desde la Nexus Zone central.</w:t>
      </w:r>
    </w:p>
    <w:p>
      <w:pPr>
        <w:pStyle w:val="ListParagraph"/>
        <w:numPr>
          <w:ilvl w:val="1"/>
          <w:numId w:val="5"/>
        </w:numPr>
      </w:pPr>
      <w:r>
        <w:t xml:space="preserve">Disputa, recolección y transporte de esferas y cubos hacia las áreas de anotación correspondientes.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Aviso de Endgame (minuto 1:15):</w:t>
      </w:r>
    </w:p>
    <w:p>
      <w:pPr>
        <w:pStyle w:val="ListParagraph"/>
        <w:numPr>
          <w:ilvl w:val="1"/>
          <w:numId w:val="5"/>
        </w:numPr>
      </w:pPr>
      <w:r>
        <w:t xml:space="preserve">Señal sonora y visual que alerta que restan 15 segundos de match.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Endgame (1:15 a 1:30 / 15 segundos):</w:t>
      </w:r>
    </w:p>
    <w:p>
      <w:pPr>
        <w:pStyle w:val="ListParagraph"/>
        <w:numPr>
          <w:ilvl w:val="1"/>
          <w:numId w:val="5"/>
        </w:numPr>
      </w:pPr>
      <w:r>
        <w:t xml:space="preserve">Los robots pueden seguir anotando o replegarse a la Nexus Zone.</w:t>
      </w:r>
    </w:p>
    <w:p>
      <w:pPr>
        <w:pStyle w:val="ListParagraph"/>
        <w:numPr>
          <w:ilvl w:val="1"/>
          <w:numId w:val="5"/>
        </w:numPr>
      </w:pPr>
      <w:r>
        <w:t xml:space="preserve">Los puntos de estacionamiento se validan al momento de detenerse el reloj (1:30).</w:t>
      </w:r>
    </w:p>
    <w:p>
      <w:pPr>
        <w:pStyle w:val="Heading2"/>
      </w:pPr>
      <w:r>
        <w:t xml:space="preserve">4. Especificaciones del campo y elementos de juego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Cancha:</w:t>
      </w:r>
      <w:r>
        <w:t xml:space="preserve"> superficie plana de 2.4 m × 2.4 m delimitada por un perímetro de contención de 20 a 25 cm de altura.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Nexus Zone central:</w:t>
      </w:r>
      <w:r>
        <w:t xml:space="preserve"> círculo central de 80 cm de diámetro en el suelo, dividido diagonalmente en sector Blue y sector Yellow.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Bahías de carga (pelotas):</w:t>
      </w:r>
      <w:r>
        <w:t xml:space="preserve"> ubicadas en esquinas opuestas. Área de 35 cm × 35 cm delimitada con un reborde perimetral bajo de 2.0 cm de altura para retención.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Rampas y plataformas de bloques (cubos):</w:t>
      </w:r>
    </w:p>
    <w:p>
      <w:pPr>
        <w:pStyle w:val="ListParagraph"/>
        <w:numPr>
          <w:ilvl w:val="1"/>
          <w:numId w:val="6"/>
        </w:numPr>
      </w:pPr>
      <w:r>
        <w:t xml:space="preserve">Rampa de ascenso: longitud de 40 cm, ancho útil de 30 cm y altura final de 10 cm (pendiente suave de aprox. 14°). Superficie con textura de tracción antiderrapante.</w:t>
      </w:r>
    </w:p>
    <w:p>
      <w:pPr>
        <w:pStyle w:val="ListParagraph"/>
        <w:numPr>
          <w:ilvl w:val="1"/>
          <w:numId w:val="6"/>
        </w:numPr>
      </w:pPr>
      <w:r>
        <w:t xml:space="preserve">Plataforma superior: superficie plana elevada de 30 cm × 30 cm donde se deben depositar los cubos.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Objetos de juego oficiales:</w:t>
      </w:r>
    </w:p>
    <w:p>
      <w:pPr>
        <w:pStyle w:val="ListParagraph"/>
        <w:numPr>
          <w:ilvl w:val="1"/>
          <w:numId w:val="6"/>
        </w:numPr>
      </w:pPr>
      <w:r>
        <w:rPr>
          <w:b/>
          <w:bCs/>
        </w:rPr>
        <w:t xml:space="preserve">Pelotas/esferas (5 Blue / 5 Yellow):</w:t>
      </w:r>
      <w:r>
        <w:t xml:space="preserve"> esferas plásticas huecas de 6.5 a 7.0 cm de diámetro y masa de 20 a 40 g.</w:t>
      </w:r>
    </w:p>
    <w:p>
      <w:pPr>
        <w:pStyle w:val="ListParagraph"/>
        <w:numPr>
          <w:ilvl w:val="1"/>
          <w:numId w:val="6"/>
        </w:numPr>
      </w:pPr>
      <w:r>
        <w:rPr>
          <w:b/>
          <w:bCs/>
        </w:rPr>
        <w:t xml:space="preserve">Cubos (4 Blue / 4 Yellow):</w:t>
      </w:r>
      <w:r>
        <w:t xml:space="preserve"> cubos de espuma EVA compacta o plástico hueco de 5.0 cm × 5.0 cm × 5.0 cm y masa de 30 a 50 g.</w:t>
      </w:r>
    </w:p>
    <w:p>
      <w:pPr>
        <w:pStyle w:val="Heading2"/>
      </w:pPr>
      <w:r>
        <w:t xml:space="preserve">5. Sistema de puntuación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Pelota válida en bahía de carga:</w:t>
      </w:r>
      <w:r>
        <w:t xml:space="preserve"> 1 punto cada una. Condición: la esfera debe estar completamente contenida dentro del área de la bahía de su color al concluir el match.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Límite de control de esferas:</w:t>
      </w:r>
      <w:r>
        <w:t xml:space="preserve"> cada robot puede transportar, controlar o estar en contacto deliberado con </w:t>
      </w:r>
      <w:r>
        <w:rPr>
          <w:b/>
          <w:bCs/>
        </w:rPr>
        <w:t xml:space="preserve">máximo una (1) esfera a la vez</w:t>
      </w:r>
      <w:r>
        <w:t xml:space="preserve">. Queda estrictamente prohibido el empuje en cadena (</w:t>
      </w:r>
      <w:r>
        <w:rPr>
          <w:i/>
          <w:iCs/>
        </w:rPr>
        <w:t xml:space="preserve">herding</w:t>
      </w:r>
      <w:r>
        <w:t xml:space="preserve"> o arreo), es decir, usar una pelota para empujar a otra hacia la bahía. Si un robot entra en contacto involuntario con una segunda pelota, debe cambiar de trayectoria inmediatamente sin dirigirla hacia la zona de anotación.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Cubo válido en plataforma de bloques:</w:t>
      </w:r>
      <w:r>
        <w:t xml:space="preserve"> 3 puntos cada uno. Condición: el cubo debe descansar completamente sobre la superficie superior plana de la plataforma de su color y haber dejado de tocar la rampa.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Límite de control de cubos:</w:t>
      </w:r>
      <w:r>
        <w:t xml:space="preserve"> cada robot puede tener contacto físico directo con </w:t>
      </w:r>
      <w:r>
        <w:rPr>
          <w:b/>
          <w:bCs/>
        </w:rPr>
        <w:t xml:space="preserve">máximo un (1) cubo a la vez</w:t>
      </w:r>
      <w:r>
        <w:t xml:space="preserve">. No obstante, </w:t>
      </w:r>
      <w:r>
        <w:rPr>
          <w:b/>
          <w:bCs/>
        </w:rPr>
        <w:t xml:space="preserve">se permite el empuje indirecto de cubos en hilera</w:t>
      </w:r>
      <w:r>
        <w:t xml:space="preserve">, es decir, el robot puede empujar un cubo que a su vez empuja a otros cubos para subirlos por la rampa o posicionarlos en la plataforma.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Estacionamiento en Nexus Zone (Endgame):</w:t>
      </w:r>
    </w:p>
    <w:p>
      <w:pPr>
        <w:pStyle w:val="ListParagraph"/>
        <w:numPr>
          <w:ilvl w:val="1"/>
          <w:numId w:val="7"/>
        </w:numPr>
      </w:pPr>
      <w:r>
        <w:t xml:space="preserve">1 robot estacionado: 2 puntos (su proyección vertical debe estar completamente contenida en el semicírculo correspondiente de su alianza, sin tocar la mitad rival ni salir del perímetro).</w:t>
      </w:r>
    </w:p>
    <w:p>
      <w:pPr>
        <w:pStyle w:val="ListParagraph"/>
        <w:numPr>
          <w:ilvl w:val="1"/>
          <w:numId w:val="7"/>
        </w:numPr>
      </w:pPr>
      <w:r>
        <w:t xml:space="preserve">Ambos robots de la alianza estacionados: 4 puntos (2 pts por robot) + 2 puntos de bonus de alianza = </w:t>
      </w:r>
      <w:r>
        <w:rPr>
          <w:b/>
          <w:bCs/>
        </w:rPr>
        <w:t xml:space="preserve">6 puntos totales</w:t>
      </w:r>
      <w:r>
        <w:t xml:space="preserve">.</w:t>
      </w:r>
    </w:p>
    <w:p>
      <w:pPr>
        <w:pStyle w:val="Heading2"/>
      </w:pPr>
      <w:r>
        <w:t xml:space="preserve">6. Normativa técnica del robot e inspección obligatoria (Robot Rules)</w:t>
      </w:r>
    </w:p>
    <w:p>
      <w:r>
        <w:t xml:space="preserve">Para competir, cada robot debe superar la inspección técnica previa al inicio del evento: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R01. Dimensiones de inicio (sizing box):</w:t>
      </w:r>
      <w:r>
        <w:t xml:space="preserve"> el robot debe caber holgadamente en una caja de inspección de </w:t>
      </w:r>
      <w:r>
        <w:rPr>
          <w:b/>
          <w:bCs/>
        </w:rPr>
        <w:t xml:space="preserve">22 cm (ancho) × 22 cm (largo) × 22 cm (alto)</w:t>
      </w:r>
      <w:r>
        <w:t xml:space="preserve">, sin comprimir elementos elásticos ni forzar las paredes.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R02. Expansión permitida durante el match:</w:t>
      </w:r>
      <w:r>
        <w:t xml:space="preserve"> se autoriza desplegar mecanismos frontales o traseros hasta una longitud máxima de </w:t>
      </w:r>
      <w:r>
        <w:rPr>
          <w:b/>
          <w:bCs/>
        </w:rPr>
        <w:t xml:space="preserve">30 cm a la vez</w:t>
      </w:r>
      <w:r>
        <w:t xml:space="preserve">, manteniendo el ancho restringido en 22 cm. La altura máxima extendida no puede superar </w:t>
      </w:r>
      <w:r>
        <w:rPr>
          <w:b/>
          <w:bCs/>
        </w:rPr>
        <w:t xml:space="preserve">30 cm</w:t>
      </w:r>
      <w:r>
        <w:t xml:space="preserve">. Al inicio de cada partida el robot debe estar dentro de estas dimensiones y después podrá extenderse hacia un solo lado. Se entiende por extenderse que algún sistema sobrepasa el límite de 22 cm por lado.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R03. Límite de masa/peso:</w:t>
      </w:r>
      <w:r>
        <w:t xml:space="preserve"> el peso total del robot, con batería incluida, no debe exceder </w:t>
      </w:r>
      <w:r>
        <w:rPr>
          <w:b/>
          <w:bCs/>
        </w:rPr>
        <w:t xml:space="preserve">1,500 g (1.5 kg)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R04. Tren motriz y motores de tracción</w:t>
      </w:r>
    </w:p>
    <w:p>
      <w:pPr>
        <w:pStyle w:val="ListParagraph"/>
        <w:numPr>
          <w:ilvl w:val="1"/>
          <w:numId w:val="8"/>
        </w:numPr>
      </w:pPr>
      <w:r>
        <w:rPr>
          <w:b/>
          <w:bCs/>
        </w:rPr>
        <w:t xml:space="preserve">Cantidad:</w:t>
      </w:r>
      <w:r>
        <w:t xml:space="preserve"> máximo dos (2) motores DC con reductora integrada.</w:t>
      </w:r>
    </w:p>
    <w:p>
      <w:pPr>
        <w:pStyle w:val="ListParagraph"/>
        <w:numPr>
          <w:ilvl w:val="1"/>
          <w:numId w:val="8"/>
        </w:numPr>
      </w:pPr>
      <w:r>
        <w:rPr>
          <w:b/>
          <w:bCs/>
        </w:rPr>
        <w:t xml:space="preserve">Modelos y variantes autorizadas:</w:t>
      </w:r>
    </w:p>
    <w:p>
      <w:pPr>
        <w:pStyle w:val="ListParagraph"/>
        <w:numPr>
          <w:ilvl w:val="2"/>
          <w:numId w:val="8"/>
        </w:numPr>
      </w:pPr>
      <w:r>
        <w:t xml:space="preserve">Motores DC tipo TT amarillos (relaciones de reducción 1:48 o 1:90).</w:t>
      </w:r>
    </w:p>
    <w:p>
      <w:pPr>
        <w:pStyle w:val="ListParagraph"/>
        <w:numPr>
          <w:ilvl w:val="2"/>
          <w:numId w:val="8"/>
        </w:numPr>
      </w:pPr>
      <w:r>
        <w:t xml:space="preserve">Micromotores metálicos tipo N20 (relaciones de reducción entre 30:1 y 100:1; 6 V o 12 V).</w:t>
      </w:r>
    </w:p>
    <w:p>
      <w:pPr>
        <w:pStyle w:val="ListParagraph"/>
        <w:numPr>
          <w:ilvl w:val="2"/>
          <w:numId w:val="8"/>
        </w:numPr>
      </w:pPr>
      <w:r>
        <w:t xml:space="preserve">Motorreductores cilíndricos tipo GA25 / 25GA-370 (relaciones entre 30:1 y 45:1; 6 V o 12 V).</w:t>
      </w:r>
    </w:p>
    <w:p>
      <w:pPr>
        <w:pStyle w:val="ListParagraph"/>
        <w:numPr>
          <w:ilvl w:val="1"/>
          <w:numId w:val="8"/>
        </w:numPr>
      </w:pPr>
      <w:r>
        <w:rPr>
          <w:b/>
          <w:bCs/>
        </w:rPr>
        <w:t xml:space="preserve">Controladores de motor autorizados:</w:t>
      </w:r>
      <w:r>
        <w:t xml:space="preserve"> módulos de puente H dual como L298N, L293D, TB6612FNG o controladores de motor DC equivalentes (máximo 1.5 A por canal).</w:t>
      </w:r>
    </w:p>
    <w:p>
      <w:pPr>
        <w:pStyle w:val="ListParagraph"/>
        <w:numPr>
          <w:ilvl w:val="1"/>
          <w:numId w:val="8"/>
        </w:numPr>
      </w:pPr>
      <w:r>
        <w:rPr>
          <w:i/>
          <w:iCs/>
        </w:rPr>
        <w:t xml:space="preserve">Queda estrictamente prohibido el uso de motores brushless (sin escobillas) o motores industriales.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R05. Actuadores de manipulación (servomotores)</w:t>
      </w:r>
    </w:p>
    <w:p>
      <w:pPr>
        <w:pStyle w:val="ListParagraph"/>
        <w:numPr>
          <w:ilvl w:val="1"/>
          <w:numId w:val="8"/>
        </w:numPr>
      </w:pPr>
      <w:r>
        <w:rPr>
          <w:b/>
          <w:bCs/>
        </w:rPr>
        <w:t xml:space="preserve">Cantidad:</w:t>
      </w:r>
      <w:r>
        <w:t xml:space="preserve"> máximo un (1) servomotor para accionar mecanismos de pala, pinza o elevador.</w:t>
      </w:r>
    </w:p>
    <w:p>
      <w:pPr>
        <w:pStyle w:val="ListParagraph"/>
        <w:numPr>
          <w:ilvl w:val="1"/>
          <w:numId w:val="8"/>
        </w:numPr>
      </w:pPr>
      <w:r>
        <w:rPr>
          <w:b/>
          <w:bCs/>
        </w:rPr>
        <w:t xml:space="preserve">Modelos y variantes autorizadas:</w:t>
      </w:r>
    </w:p>
    <w:p>
      <w:pPr>
        <w:pStyle w:val="ListParagraph"/>
        <w:numPr>
          <w:ilvl w:val="2"/>
          <w:numId w:val="8"/>
        </w:numPr>
      </w:pPr>
      <w:r>
        <w:t xml:space="preserve">Formato micro (9 g): SG90 (engranajes de plástico), MG90S (engranajes metálicos) o SG92R (engranajes de fibra de carbono/nailon).</w:t>
      </w:r>
    </w:p>
    <w:p>
      <w:pPr>
        <w:pStyle w:val="ListParagraph"/>
        <w:numPr>
          <w:ilvl w:val="2"/>
          <w:numId w:val="8"/>
        </w:numPr>
      </w:pPr>
      <w:r>
        <w:t xml:space="preserve">Formato estándar: MG995, MG996R o servomotores estándar equivalentes con torque nominal de hasta 13 kg·cm a 6 V.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R06. Plataforma de control y procesamiento</w:t>
      </w:r>
    </w:p>
    <w:p>
      <w:pPr>
        <w:pStyle w:val="ListParagraph"/>
        <w:numPr>
          <w:ilvl w:val="1"/>
          <w:numId w:val="8"/>
        </w:numPr>
      </w:pPr>
      <w:r>
        <w:rPr>
          <w:b/>
          <w:bCs/>
        </w:rPr>
        <w:t xml:space="preserve">Cantidad:</w:t>
      </w:r>
      <w:r>
        <w:t xml:space="preserve"> exactamente una (1) placa de control principal por robot.</w:t>
      </w:r>
    </w:p>
    <w:p>
      <w:pPr>
        <w:pStyle w:val="ListParagraph"/>
        <w:numPr>
          <w:ilvl w:val="1"/>
          <w:numId w:val="8"/>
        </w:numPr>
      </w:pPr>
      <w:r>
        <w:rPr>
          <w:b/>
          <w:bCs/>
        </w:rPr>
        <w:t xml:space="preserve">Modelos y variantes autorizadas:</w:t>
      </w:r>
    </w:p>
    <w:p>
      <w:pPr>
        <w:pStyle w:val="ListParagraph"/>
        <w:numPr>
          <w:ilvl w:val="2"/>
          <w:numId w:val="8"/>
        </w:numPr>
      </w:pPr>
      <w:r>
        <w:rPr>
          <w:b/>
          <w:bCs/>
        </w:rPr>
        <w:t xml:space="preserve">Placas compatibles con Arduino:</w:t>
      </w:r>
      <w:r>
        <w:t xml:space="preserve"> Arduino UNO (R3 / CH340), Arduino Nano, Arduino Leonardo o Arduino Mega.</w:t>
      </w:r>
    </w:p>
    <w:p>
      <w:pPr>
        <w:pStyle w:val="ListParagraph"/>
        <w:numPr>
          <w:ilvl w:val="2"/>
          <w:numId w:val="8"/>
        </w:numPr>
      </w:pPr>
      <w:r>
        <w:rPr>
          <w:b/>
          <w:bCs/>
        </w:rPr>
        <w:t xml:space="preserve">Placas basadas en ESP32:</w:t>
      </w:r>
      <w:r>
        <w:t xml:space="preserve"> ESP32 NodeMCU, ESP32-WROOM o equivalentes (utilizando su Bluetooth integrado).</w:t>
      </w:r>
    </w:p>
    <w:p>
      <w:pPr>
        <w:pStyle w:val="ListParagraph"/>
        <w:numPr>
          <w:ilvl w:val="2"/>
          <w:numId w:val="8"/>
        </w:numPr>
      </w:pPr>
      <w:r>
        <w:rPr>
          <w:b/>
          <w:bCs/>
        </w:rPr>
        <w:t xml:space="preserve">Placas basadas en RP2040:</w:t>
      </w:r>
      <w:r>
        <w:t xml:space="preserve"> Raspberry Pi Pico o Raspberry Pi Pico W.</w:t>
      </w:r>
    </w:p>
    <w:p>
      <w:pPr>
        <w:pStyle w:val="ListParagraph"/>
        <w:numPr>
          <w:ilvl w:val="1"/>
          <w:numId w:val="8"/>
        </w:numPr>
      </w:pPr>
      <w:r>
        <w:rPr>
          <w:b/>
          <w:bCs/>
        </w:rPr>
        <w:t xml:space="preserve">Restricción:</w:t>
      </w:r>
      <w:r>
        <w:t xml:space="preserve"> quedan prohibidas las computadoras de placa completa que requieran sistema operativo (como Raspberry Pi 3, 4 o 5, familia NVIDIA Jetson, entre otras).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R07. Sensores auxiliares (opcionales):</w:t>
      </w:r>
    </w:p>
    <w:p>
      <w:pPr>
        <w:pStyle w:val="ListParagraph"/>
        <w:numPr>
          <w:ilvl w:val="1"/>
          <w:numId w:val="8"/>
        </w:numPr>
      </w:pPr>
      <w:r>
        <w:t xml:space="preserve">Se permite instalar un máximo de dos (2) sensores infrarrojos y un (1) sensor de distancia para funciones de asistencia o telemetría.</w:t>
      </w:r>
    </w:p>
    <w:p>
      <w:pPr>
        <w:pStyle w:val="ListParagraph"/>
        <w:numPr>
          <w:ilvl w:val="1"/>
          <w:numId w:val="8"/>
        </w:numPr>
      </w:pPr>
      <w:r>
        <w:rPr>
          <w:b/>
          <w:bCs/>
        </w:rPr>
        <w:t xml:space="preserve">Variantes de sensores infrarrojos permitidos (máximo 2):</w:t>
      </w:r>
    </w:p>
    <w:p>
      <w:pPr>
        <w:pStyle w:val="ListParagraph"/>
        <w:numPr>
          <w:ilvl w:val="2"/>
          <w:numId w:val="8"/>
        </w:numPr>
      </w:pPr>
      <w:r>
        <w:t xml:space="preserve">Módulos TCRT5000.</w:t>
      </w:r>
    </w:p>
    <w:p>
      <w:pPr>
        <w:pStyle w:val="ListParagraph"/>
        <w:numPr>
          <w:ilvl w:val="2"/>
          <w:numId w:val="8"/>
        </w:numPr>
      </w:pPr>
      <w:r>
        <w:t xml:space="preserve">Sensores de proximidad/evasión ajustables FC-51.</w:t>
      </w:r>
    </w:p>
    <w:p>
      <w:pPr>
        <w:pStyle w:val="ListParagraph"/>
        <w:numPr>
          <w:ilvl w:val="2"/>
          <w:numId w:val="8"/>
        </w:numPr>
      </w:pPr>
      <w:r>
        <w:t xml:space="preserve">Sensores ópticos de distancia analógicos SHARP (series GP2Y0A21 o GP2Y0A41).</w:t>
      </w:r>
    </w:p>
    <w:p>
      <w:pPr>
        <w:pStyle w:val="ListParagraph"/>
        <w:numPr>
          <w:ilvl w:val="2"/>
          <w:numId w:val="8"/>
        </w:numPr>
      </w:pPr>
      <w:r>
        <w:t xml:space="preserve">Sensores de reflectancia miniatura QTR-1A o QTR-1D.</w:t>
      </w:r>
    </w:p>
    <w:p>
      <w:pPr>
        <w:pStyle w:val="ListParagraph"/>
        <w:numPr>
          <w:ilvl w:val="1"/>
          <w:numId w:val="8"/>
        </w:numPr>
      </w:pPr>
      <w:r>
        <w:rPr>
          <w:b/>
          <w:bCs/>
        </w:rPr>
        <w:t xml:space="preserve">Variantes de sensores de distancia permitidos (máximo 1):</w:t>
      </w:r>
    </w:p>
    <w:p>
      <w:pPr>
        <w:pStyle w:val="ListParagraph"/>
        <w:numPr>
          <w:ilvl w:val="2"/>
          <w:numId w:val="8"/>
        </w:numPr>
      </w:pPr>
      <w:r>
        <w:t xml:space="preserve">Sensores ultrasónicos HC-SR04, US-015 o US-100.</w:t>
      </w:r>
    </w:p>
    <w:p>
      <w:pPr>
        <w:pStyle w:val="ListParagraph"/>
        <w:numPr>
          <w:ilvl w:val="2"/>
          <w:numId w:val="8"/>
        </w:numPr>
      </w:pPr>
      <w:r>
        <w:t xml:space="preserve">Sensor ultrasónico con sonda externa JSN-SR04T.</w:t>
      </w:r>
    </w:p>
    <w:p>
      <w:pPr>
        <w:pStyle w:val="ListParagraph"/>
        <w:numPr>
          <w:ilvl w:val="2"/>
          <w:numId w:val="8"/>
        </w:numPr>
      </w:pPr>
      <w:r>
        <w:t xml:space="preserve">Sensor de distancia láser Time-of-Flight (ToF) VL53L0X.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R08. Sistema de alimentación y seguridad eléctrica:</w:t>
      </w:r>
    </w:p>
    <w:p>
      <w:pPr>
        <w:pStyle w:val="ListParagraph"/>
        <w:numPr>
          <w:ilvl w:val="1"/>
          <w:numId w:val="8"/>
        </w:numPr>
      </w:pPr>
      <w:r>
        <w:t xml:space="preserve">Voltaje máximo permitido: </w:t>
      </w:r>
      <w:r>
        <w:rPr>
          <w:b/>
          <w:bCs/>
        </w:rPr>
        <w:t xml:space="preserve">8.4 V</w:t>
      </w:r>
      <w:r>
        <w:t xml:space="preserve">.</w:t>
      </w:r>
    </w:p>
    <w:p>
      <w:pPr>
        <w:pStyle w:val="ListParagraph"/>
        <w:numPr>
          <w:ilvl w:val="1"/>
          <w:numId w:val="8"/>
        </w:numPr>
      </w:pPr>
      <w:r>
        <w:t xml:space="preserve">Baterías permitidas: máximo 2 celdas de litio 18650 en serie (nominal 7.4 V) o portapilas de 6 celdas AA.</w:t>
      </w:r>
    </w:p>
    <w:p>
      <w:pPr>
        <w:pStyle w:val="ListParagraph"/>
        <w:numPr>
          <w:ilvl w:val="1"/>
          <w:numId w:val="8"/>
        </w:numPr>
      </w:pPr>
      <w:r>
        <w:rPr>
          <w:b/>
          <w:bCs/>
        </w:rPr>
        <w:t xml:space="preserve">Interruptor general obligatorio (kill switch):</w:t>
      </w:r>
      <w:r>
        <w:t xml:space="preserve"> el robot debe contar con un switch mecánico de encendido/apagado visible, firme y accesible desde el exterior para desenergizarlo inmediatamente en caso de emergencia.</w:t>
      </w:r>
    </w:p>
    <w:p>
      <w:pPr>
        <w:pStyle w:val="ListParagraph"/>
        <w:numPr>
          <w:ilvl w:val="1"/>
          <w:numId w:val="8"/>
        </w:numPr>
      </w:pPr>
      <w:r>
        <w:t xml:space="preserve">Sujeción mecánica: las baterías deben estar atornilladas o aseguradas con cinchos plásticos al chasis; queda prohibida la cinta adhesiva suelta.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R09. Sistema de comunicación inalámbrica</w:t>
      </w:r>
    </w:p>
    <w:p>
      <w:pPr>
        <w:pStyle w:val="ListParagraph"/>
        <w:numPr>
          <w:ilvl w:val="1"/>
          <w:numId w:val="8"/>
        </w:numPr>
      </w:pPr>
      <w:r>
        <w:t xml:space="preserve">Se autoriza el uso de comunicación vía Bluetooth 2.4 GHz mediante:</w:t>
      </w:r>
    </w:p>
    <w:p>
      <w:pPr>
        <w:pStyle w:val="ListParagraph"/>
        <w:numPr>
          <w:ilvl w:val="2"/>
          <w:numId w:val="8"/>
        </w:numPr>
      </w:pPr>
      <w:r>
        <w:t xml:space="preserve">Módulos externos HC-05 o HC-06 conectados por puerto serial UART.</w:t>
      </w:r>
    </w:p>
    <w:p>
      <w:pPr>
        <w:pStyle w:val="ListParagraph"/>
        <w:numPr>
          <w:ilvl w:val="2"/>
          <w:numId w:val="8"/>
        </w:numPr>
      </w:pPr>
      <w:r>
        <w:t xml:space="preserve">Módulos Bluetooth integrados de fábrica en placas autorizadas (ESP32 o Raspberry Pi Pico W).</w:t>
      </w:r>
    </w:p>
    <w:p>
      <w:pPr>
        <w:pStyle w:val="ListParagraph"/>
        <w:numPr>
          <w:ilvl w:val="1"/>
          <w:numId w:val="8"/>
        </w:numPr>
      </w:pPr>
      <w:r>
        <w:rPr>
          <w:b/>
          <w:bCs/>
        </w:rPr>
        <w:t xml:space="preserve">Nombre obligatorio:</w:t>
      </w:r>
      <w:r>
        <w:t xml:space="preserve"> todo robot debe renombrarse con la nomenclatura oficial NEXUS_SE_### (ej. NEXUS_SE_005).</w:t>
      </w:r>
    </w:p>
    <w:p>
      <w:pPr>
        <w:pStyle w:val="ListParagraph"/>
        <w:numPr>
          <w:ilvl w:val="1"/>
          <w:numId w:val="8"/>
        </w:numPr>
      </w:pPr>
      <w:r>
        <w:rPr>
          <w:b/>
          <w:bCs/>
        </w:rPr>
        <w:t xml:space="preserve">Contraseña de enlace (opcional):</w:t>
      </w:r>
      <w:r>
        <w:t xml:space="preserve"> asignada e inspeccionada en la mesa técnica para prevenir conexiones cruzadas con otros equipos.</w:t>
      </w:r>
    </w:p>
    <w:p>
      <w:pPr>
        <w:pStyle w:val="Heading2"/>
      </w:pPr>
      <w:r>
        <w:t xml:space="preserve">7. Reglas de juego, faltas y seguridad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G01. Contacto e interacción:</w:t>
      </w:r>
      <w:r>
        <w:t xml:space="preserve"> se permite el contacto incidental y el bloqueo defensivo moderado de trayectorias. Queda estrictamente prohibido embestir deliberadamente con intención de volcar, enganchar, romper piezas o desprender cableado del rival.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G02. Regla de inmovilización (pinning):</w:t>
      </w:r>
      <w:r>
        <w:t xml:space="preserve"> ningún robot puede acorralar o inmovilizar a un rival por más de 5 segundos. Debe separarse visiblemente al menos 30 cm antes de reiniciar una acción defensiva.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G03. Zonas protegidas:</w:t>
      </w:r>
      <w:r>
        <w:t xml:space="preserve"> las bahías de carga y las plataformas de bloques son inviolables. Un robot defensor no puede ingresar a la zona de anotación rival ni expulsar recursos que ya hayan sido anotados válidamente.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G04. Recursos fuera de cancha:</w:t>
      </w:r>
      <w:r>
        <w:t xml:space="preserve"> todo recurso que salga accidentalmente del campo queda fuera del juego. Expulsar deliberadamente recursos fuera de la cancha amerita falta mayor.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G05. Tabla de faltas:</w:t>
      </w:r>
    </w:p>
    <w:p>
      <w:pPr>
        <w:pStyle w:val="ListParagraph"/>
        <w:numPr>
          <w:ilvl w:val="1"/>
          <w:numId w:val="9"/>
        </w:numPr>
      </w:pPr>
      <w:r>
        <w:rPr>
          <w:b/>
          <w:bCs/>
        </w:rPr>
        <w:t xml:space="preserve">Falta menor (minor foul):</w:t>
      </w:r>
      <w:r>
        <w:t xml:space="preserve"> +3 puntos para la alianza contraria (infracciones leves de pinning, invasión momentánea).</w:t>
      </w:r>
    </w:p>
    <w:p>
      <w:pPr>
        <w:pStyle w:val="ListParagraph"/>
        <w:numPr>
          <w:ilvl w:val="1"/>
          <w:numId w:val="9"/>
        </w:numPr>
      </w:pPr>
      <w:r>
        <w:rPr>
          <w:b/>
          <w:bCs/>
        </w:rPr>
        <w:t xml:space="preserve">Falta mayor (major foul):</w:t>
      </w:r>
      <w:r>
        <w:t xml:space="preserve"> +10 puntos para la alianza contraria (daño deliberado, violación de zona protegida, conducta antideportiva).</w:t>
      </w:r>
    </w:p>
    <w:p>
      <w:pPr>
        <w:pStyle w:val="ListParagraph"/>
        <w:numPr>
          <w:ilvl w:val="1"/>
          <w:numId w:val="9"/>
        </w:numPr>
      </w:pPr>
      <w:r>
        <w:rPr>
          <w:b/>
          <w:bCs/>
        </w:rPr>
        <w:t xml:space="preserve">Tarjetas:</w:t>
      </w:r>
      <w:r>
        <w:t xml:space="preserve"> tarjeta amarilla (advertencia formal). Dos tarjetas amarillas en un match equivalen a tarjeta roja y descalificación del equipo del match.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G06. Violación de posesión de recursos:</w:t>
      </w:r>
    </w:p>
    <w:p>
      <w:pPr>
        <w:pStyle w:val="ListParagraph"/>
        <w:numPr>
          <w:ilvl w:val="1"/>
          <w:numId w:val="9"/>
        </w:numPr>
      </w:pPr>
      <w:r>
        <w:t xml:space="preserve">Contacto/empuje deliberado de más de 1 pelota simultánea: </w:t>
      </w:r>
      <w:r>
        <w:rPr>
          <w:b/>
          <w:bCs/>
        </w:rPr>
        <w:t xml:space="preserve">falta menor (+1 pt al rival)</w:t>
      </w:r>
      <w:r>
        <w:t xml:space="preserve"> por evento.</w:t>
      </w:r>
    </w:p>
    <w:p>
      <w:pPr>
        <w:pStyle w:val="ListParagraph"/>
        <w:numPr>
          <w:ilvl w:val="1"/>
          <w:numId w:val="9"/>
        </w:numPr>
      </w:pPr>
      <w:r>
        <w:t xml:space="preserve">Captura o retención física de más de 1 cubo de forma directa en el mecanismo: </w:t>
      </w:r>
      <w:r>
        <w:rPr>
          <w:b/>
          <w:bCs/>
        </w:rPr>
        <w:t xml:space="preserve">falta menor (+1 pt al rival)</w:t>
      </w:r>
      <w:r>
        <w:t xml:space="preserve">.</w:t>
      </w:r>
    </w:p>
    <w:p>
      <w:pPr>
        <w:pStyle w:val="Heading2"/>
      </w:pPr>
      <w:r>
        <w:t xml:space="preserve">8. Operación de cancha, drive team y pits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Drive team en cancha:</w:t>
      </w:r>
      <w:r>
        <w:t xml:space="preserve"> máximo 2 estudiantes por equipo en la zona de pilotaje (1 driver que opera el control y 1 student coach que coordina la estrategia de alianza). Los adultos o mentores no pueden ingresar a la zona de juego ni comunicarse durante el match.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Protocolo de queueing:</w:t>
      </w:r>
      <w:r>
        <w:t xml:space="preserve"> los equipos deben reportarse en la fila de espera con 2 matches de anticipación para verificar la carga de batería y el emparejamiento Bluetooth en la pre-cancha.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Tiempo de colocación (set-up):</w:t>
      </w:r>
      <w:r>
        <w:t xml:space="preserve"> máximo 60 segundos una vez liberada la cancha. Si un equipo no logra conectarse a tiempo, el match iniciará y el robot podrá incorporarse en cuanto enlace su señal.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Seguridad en pits:</w:t>
      </w:r>
      <w:r>
        <w:t xml:space="preserve"> zona de carga de baterías supervisada por la organización. Se prohíbe el uso de cargadores no homologados o de celdas 18650 con envoltura rota o deformada visible.</w:t>
      </w:r>
    </w:p>
    <w:p>
      <w:pPr>
        <w:pStyle w:val="Heading2"/>
      </w:pPr>
      <w:r>
        <w:t xml:space="preserve">9. Selección de alianzas y playoffs (fase final)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Clasificación a fase final:</w:t>
      </w:r>
      <w:r>
        <w:t xml:space="preserve"> al término de los matches clasificatorios, avanzan los 8 mejores equipos según el ranking oficial de RP.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Selección de alianzas (Alliance Selection):</w:t>
      </w:r>
    </w:p>
    <w:p>
      <w:pPr>
        <w:pStyle w:val="ListParagraph"/>
        <w:numPr>
          <w:ilvl w:val="1"/>
          <w:numId w:val="11"/>
        </w:numPr>
      </w:pPr>
      <w:r>
        <w:t xml:space="preserve">Los 4 mejores equipos se designan capitanes de alianza (Capitán 1 al 4).</w:t>
      </w:r>
    </w:p>
    <w:p>
      <w:pPr>
        <w:pStyle w:val="ListParagraph"/>
        <w:numPr>
          <w:ilvl w:val="1"/>
          <w:numId w:val="11"/>
        </w:numPr>
      </w:pPr>
      <w:r>
        <w:t xml:space="preserve">El Capitán 1 invita a un equipo del ranking general para que sea su compañero definitivo de alianza.</w:t>
      </w:r>
    </w:p>
    <w:p>
      <w:pPr>
        <w:pStyle w:val="ListParagraph"/>
        <w:numPr>
          <w:ilvl w:val="1"/>
          <w:numId w:val="11"/>
        </w:numPr>
      </w:pPr>
      <w:r>
        <w:rPr>
          <w:b/>
          <w:bCs/>
        </w:rPr>
        <w:t xml:space="preserve">Regla de declinación:</w:t>
      </w:r>
      <w:r>
        <w:t xml:space="preserve"> si un equipo invitado declina, queda vetado de ser seleccionado por otro capitán en rondas posteriores (solo podría ser capitán si la tabla se recorre).</w:t>
      </w:r>
    </w:p>
    <w:p>
      <w:pPr>
        <w:pStyle w:val="ListParagraph"/>
        <w:numPr>
          <w:ilvl w:val="1"/>
          <w:numId w:val="11"/>
        </w:numPr>
      </w:pPr>
      <w:r>
        <w:t xml:space="preserve">Se repite sucesivamente con los Capitanes 2, 3 y 4 hasta conformar las 4 alianzas finalistas (2 robots cada una).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Cuadro de eliminación (playoffs):</w:t>
      </w:r>
    </w:p>
    <w:p>
      <w:pPr>
        <w:pStyle w:val="ListParagraph"/>
        <w:numPr>
          <w:ilvl w:val="1"/>
          <w:numId w:val="11"/>
        </w:numPr>
      </w:pPr>
      <w:r>
        <w:t xml:space="preserve">Series al mejor de 3 partidas (best of 3):</w:t>
      </w:r>
    </w:p>
    <w:p>
      <w:pPr>
        <w:pStyle w:val="ListParagraph"/>
        <w:numPr>
          <w:ilvl w:val="2"/>
          <w:numId w:val="11"/>
        </w:numPr>
      </w:pPr>
      <w:r>
        <w:t xml:space="preserve">Semifinal 1: Alianza 1 vs. Alianza 4.</w:t>
      </w:r>
    </w:p>
    <w:p>
      <w:pPr>
        <w:pStyle w:val="ListParagraph"/>
        <w:numPr>
          <w:ilvl w:val="2"/>
          <w:numId w:val="11"/>
        </w:numPr>
      </w:pPr>
      <w:r>
        <w:t xml:space="preserve">Semifinal 2: Alianza 2 vs. Alianza 3.</w:t>
      </w:r>
    </w:p>
    <w:p>
      <w:pPr>
        <w:pStyle w:val="ListParagraph"/>
        <w:numPr>
          <w:ilvl w:val="2"/>
          <w:numId w:val="11"/>
        </w:numPr>
      </w:pPr>
      <w:r>
        <w:t xml:space="preserve">Gran final: ganador de la Semifinal 1 vs. ganador de la Semifinal 2.</w:t>
      </w:r>
    </w:p>
    <w:p>
      <w:pPr>
        <w:pStyle w:val="Heading2"/>
      </w:pPr>
      <w:r>
        <w:t xml:space="preserve">10. Cultura Nexus y premiaciones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Spirit Score (puntaje de espíritu de equipo):</w:t>
      </w:r>
      <w:r>
        <w:t xml:space="preserve"> evaluación formativa (0 a 10 puntos) asignada por jueces en pits y gradas con base en: identidad del equipo, apoyo y entusiasmo positivo, trabajo colaborativo en pits, espíritu y colaboración competitiva, y cuidado del entorno. </w:t>
      </w:r>
      <w:r>
        <w:rPr>
          <w:i/>
          <w:iCs/>
        </w:rPr>
        <w:t xml:space="preserve">Nota:</w:t>
      </w:r>
      <w:r>
        <w:t xml:space="preserve"> el puntaje de espíritu de equipo y de colaboración no altera el marcador de cancha; se utiliza para premios especiales.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Premios oficiales:</w:t>
      </w:r>
    </w:p>
    <w:p>
      <w:pPr>
        <w:pStyle w:val="ListParagraph"/>
        <w:numPr>
          <w:ilvl w:val="1"/>
          <w:numId w:val="12"/>
        </w:numPr>
      </w:pPr>
      <w:r>
        <w:t xml:space="preserve">Alianza Campeona de Nexus Challenge 2026 (trofeo para ambos equipos).</w:t>
      </w:r>
    </w:p>
    <w:p>
      <w:pPr>
        <w:pStyle w:val="ListParagraph"/>
        <w:numPr>
          <w:ilvl w:val="1"/>
          <w:numId w:val="12"/>
        </w:numPr>
      </w:pPr>
      <w:r>
        <w:t xml:space="preserve">Alianza Finalista.</w:t>
      </w:r>
    </w:p>
    <w:p>
      <w:pPr>
        <w:pStyle w:val="ListParagraph"/>
        <w:numPr>
          <w:ilvl w:val="1"/>
          <w:numId w:val="12"/>
        </w:numPr>
      </w:pPr>
      <w:r>
        <w:t xml:space="preserve">Premio a la Excelencia en Ingeniería (diseño mecánico y robustez).</w:t>
      </w:r>
    </w:p>
    <w:p>
      <w:pPr>
        <w:pStyle w:val="ListParagraph"/>
        <w:numPr>
          <w:ilvl w:val="1"/>
          <w:numId w:val="12"/>
        </w:numPr>
      </w:pPr>
      <w:r>
        <w:t xml:space="preserve">Premio a la Estrategia e Innovación.</w:t>
      </w:r>
    </w:p>
    <w:p>
      <w:pPr>
        <w:pStyle w:val="ListParagraph"/>
        <w:numPr>
          <w:ilvl w:val="1"/>
          <w:numId w:val="12"/>
        </w:numPr>
      </w:pPr>
      <w:r>
        <w:t xml:space="preserve">Premio Espíritu y Colaboración Competitiva.</w:t>
      </w:r>
    </w:p>
    <w:p>
      <w:pPr>
        <w:pStyle w:val="ListParagraph"/>
        <w:numPr>
          <w:ilvl w:val="1"/>
          <w:numId w:val="12"/>
        </w:numPr>
      </w:pPr>
      <w:r>
        <w:t xml:space="preserve">Reconocimientos al Líder de División Primaria y Líder de División Secundaria.</w:t>
      </w:r>
    </w:p>
    <w:p>
      <w:pPr>
        <w:pStyle w:val="Heading2"/>
      </w:pPr>
      <w:r>
        <w:t xml:space="preserve">11. Cultura Nexus y rúbrica de Spirit Score (puntaje de espíritu del equipo)</w:t>
      </w:r>
    </w:p>
    <w:p>
      <w:r>
        <w:t xml:space="preserve">El Spirit Score evalúa de manera formativa la actitud, la colaboración y la identidad de los equipos en pits y gradas. Es calificado por jueces y voluntarios (puntuación de 0 a 10 puntos). </w:t>
      </w:r>
      <w:r>
        <w:rPr>
          <w:b/>
          <w:bCs/>
        </w:rPr>
        <w:t xml:space="preserve">No modifica el marcador del match ni altera la tabla de posiciones competitiva; se utiliza exclusivamente para otorgar premios especiales.</w:t>
      </w:r>
    </w:p>
    <w:p>
      <w:pPr>
        <w:pStyle w:val="Heading3"/>
      </w:pPr>
      <w:r>
        <w:t xml:space="preserve">Rúbrica de evaluación (0 a 2 puntos por dimensión)</w:t>
      </w:r>
    </w:p>
    <w:p>
      <w:pPr>
        <w:pStyle w:val="Caption"/>
        <w:keepNext/>
      </w:pPr>
      <w:r>
        <w:t xml:space="preserve">Tabla 1. Rúbrica de Spirit Score.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126"/>
        <w:gridCol w:w="1200"/>
      </w:tblGrid>
      <w:tr>
        <w:trPr>
          <w:cantSplit/>
          <w:tblHeader/>
        </w:trPr>
        <w:tc>
          <w:tcPr>
            <w:tcW w:type="dxa" w:w="27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EEE5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 xml:space="preserve">Dimensión</w:t>
            </w:r>
          </w:p>
        </w:tc>
        <w:tc>
          <w:tcPr>
            <w:tcW w:type="dxa" w:w="51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EEE5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 xml:space="preserve">Qué se evalúa</w:t>
            </w:r>
          </w:p>
        </w:tc>
        <w:tc>
          <w:tcPr>
            <w:tcW w:type="dxa" w:w="12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EEE5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 xml:space="preserve">Puntos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t xml:space="preserve">1. Identidad y porra</w:t>
            </w:r>
          </w:p>
        </w:tc>
        <w:tc>
          <w:tcPr>
            <w:tcW w:type="dxa" w:w="51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t xml:space="preserve">Creatividad, entusiasmo positivo, cánticos, respeto e identidad visual propia del equipo.</w:t>
            </w:r>
          </w:p>
        </w:tc>
        <w:tc>
          <w:tcPr>
            <w:tcW w:type="dxa" w:w="12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t xml:space="preserve">0–2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t xml:space="preserve">2. Apoyo a su alianza</w:t>
            </w:r>
          </w:p>
        </w:tc>
        <w:tc>
          <w:tcPr>
            <w:tcW w:type="dxa" w:w="51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t xml:space="preserve">Respaldo activo, comunicación constructiva y compañerismo hacia el equipo con el que comparte cancha en cada match.</w:t>
            </w:r>
          </w:p>
        </w:tc>
        <w:tc>
          <w:tcPr>
            <w:tcW w:type="dxa" w:w="12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t xml:space="preserve">0–2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t xml:space="preserve">3. Colaboración en pits</w:t>
            </w:r>
          </w:p>
        </w:tc>
        <w:tc>
          <w:tcPr>
            <w:tcW w:type="dxa" w:w="51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t xml:space="preserve">Disposición auténtica para ayudar a otros equipos, compartir refacciones o herramientas, o brindar apoyo en reparaciones de emergencia.</w:t>
            </w:r>
          </w:p>
        </w:tc>
        <w:tc>
          <w:tcPr>
            <w:tcW w:type="dxa" w:w="12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t xml:space="preserve">0–2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t xml:space="preserve">4. Colaboración competitiva</w:t>
            </w:r>
          </w:p>
        </w:tc>
        <w:tc>
          <w:tcPr>
            <w:tcW w:type="dxa" w:w="51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t xml:space="preserve">Trato respetuoso hacia los árbitros, contrincantes, personal de staff y voluntarios del evento.</w:t>
            </w:r>
          </w:p>
        </w:tc>
        <w:tc>
          <w:tcPr>
            <w:tcW w:type="dxa" w:w="12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t xml:space="preserve">0–2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5. Cultura Nexus</w:t>
            </w:r>
          </w:p>
        </w:tc>
        <w:tc>
          <w:tcPr>
            <w:tcW w:type="dxa" w:w="51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Puntualidad en el llamado a queueing, orden y limpieza en la mesa de pits, y cuidado de las instalaciones universitarias.</w:t>
            </w:r>
          </w:p>
        </w:tc>
        <w:tc>
          <w:tcPr>
            <w:tcW w:type="dxa" w:w="12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0–2</w:t>
            </w:r>
          </w:p>
        </w:tc>
      </w:tr>
    </w:tbl>
    <w:p>
      <w:pPr>
        <w:pStyle w:val="AfterTable"/>
      </w:pPr>
    </w:p>
    <w:p>
      <w:pPr>
        <w:pStyle w:val="Heading3"/>
      </w:pPr>
      <w:r>
        <w:t xml:space="preserve">Prácticas que NO generan Spirit Score (puntaje de espíritu del equipo)</w:t>
      </w:r>
    </w:p>
    <w:p>
      <w:pPr>
        <w:pStyle w:val="ListParagraph"/>
        <w:numPr>
          <w:ilvl w:val="0"/>
          <w:numId w:val="13"/>
        </w:numPr>
      </w:pPr>
      <w:r>
        <w:t xml:space="preserve">Volumen de sonido excesivo o búsqueda de imponerse por decibeles.</w:t>
      </w:r>
    </w:p>
    <w:p>
      <w:pPr>
        <w:pStyle w:val="ListParagraph"/>
        <w:numPr>
          <w:ilvl w:val="0"/>
          <w:numId w:val="13"/>
        </w:numPr>
      </w:pPr>
      <w:r>
        <w:t xml:space="preserve">Cantidad de familiares o acompañantes en el recinto.</w:t>
      </w:r>
    </w:p>
    <w:p>
      <w:pPr>
        <w:pStyle w:val="ListParagraph"/>
        <w:numPr>
          <w:ilvl w:val="0"/>
          <w:numId w:val="13"/>
        </w:numPr>
      </w:pPr>
      <w:r>
        <w:t xml:space="preserve">Uso de bocinas portátiles de alta potencia, sirenas o cornetas.</w:t>
      </w:r>
    </w:p>
    <w:p>
      <w:pPr>
        <w:pStyle w:val="ListParagraph"/>
        <w:numPr>
          <w:ilvl w:val="0"/>
          <w:numId w:val="13"/>
        </w:numPr>
      </w:pPr>
      <w:r>
        <w:t xml:space="preserve">Inversión de dinero en uniformes ostentosos o parafernalia costosa.</w:t>
      </w:r>
    </w:p>
    <w:p>
      <w:pPr>
        <w:pStyle w:val="ListParagraph"/>
        <w:numPr>
          <w:ilvl w:val="0"/>
          <w:numId w:val="13"/>
        </w:numPr>
      </w:pPr>
      <w:r>
        <w:t xml:space="preserve">Contratación de animadores o porristas externos.</w:t>
      </w:r>
    </w:p>
    <w:p>
      <w:pPr>
        <w:pStyle w:val="Heading2"/>
      </w:pPr>
      <w:r>
        <w:t xml:space="preserve">12. Componentes del kit oficial y principio de mecánica abierta</w:t>
      </w:r>
    </w:p>
    <w:p>
      <w:r>
        <w:t xml:space="preserve">La competencia se basa en una arquitectura tecnológica accesible, estandarizada y modular.</w:t>
      </w:r>
    </w:p>
    <w:p>
      <w:pPr>
        <w:pStyle w:val="Heading3"/>
      </w:pPr>
      <w:r>
        <w:t xml:space="preserve">Componentes de la plataforma base (kit oficial Keybot)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Controlador:</w:t>
      </w:r>
      <w:r>
        <w:t xml:space="preserve"> placa Arduino UNO R3 (compatible, chip CH340) o Arduino Nano.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Chasis:</w:t>
      </w:r>
      <w:r>
        <w:t xml:space="preserve"> estructura Smart Car 2WD con dimensiones base de ~17 cm (largo) × ~14 cm (ancho) × ~12 cm (alto).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Tracción:</w:t>
      </w:r>
      <w:r>
        <w:t xml:space="preserve"> 2 motores DC tipo TT amarillos con caja reductora estándar acoplados a ruedas de goma.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Rueda de apoyo:</w:t>
      </w:r>
      <w:r>
        <w:t xml:space="preserve"> 1 rueda loca giratoria (caster wheel) metálica o plástica.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Controlador de motores:</w:t>
      </w:r>
      <w:r>
        <w:t xml:space="preserve"> módulo puente H dual L298N.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Módulo inalámbrico:</w:t>
      </w:r>
      <w:r>
        <w:t xml:space="preserve"> tarjeta Bluetooth HC-05 (o HC-06) con comunicación serial UART.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Alimentación:</w:t>
      </w:r>
      <w:r>
        <w:t xml:space="preserve"> 2 baterías de litio 18650 recargables montadas en portapilas con cables reforzados.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Actuador auxiliar:</w:t>
      </w:r>
      <w:r>
        <w:t xml:space="preserve"> 1 servomotor micro 9 g (SG90 o, recomendado, MG90S con piñones metálicos).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Sensores auxiliares:</w:t>
      </w:r>
      <w:r>
        <w:t xml:space="preserve"> 1 sensor ultrasónico HC-SR04 y 2 módulos infrarrojos TCRT5000.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Accesorios:</w:t>
      </w:r>
      <w:r>
        <w:t xml:space="preserve"> protoboard miniatura, jumpers macho-macho / macho-hembra, tornillería y switch de encendido.</w:t>
      </w:r>
    </w:p>
    <w:p>
      <w:pPr>
        <w:pStyle w:val="Heading3"/>
      </w:pPr>
      <w:r>
        <w:t xml:space="preserve">Principio de construcción y mecánica abierta</w:t>
      </w:r>
    </w:p>
    <w:p>
      <w:r>
        <w:rPr>
          <w:i/>
          <w:iCs/>
        </w:rPr>
        <w:t xml:space="preserve">«El robot oficial es una plataforma base, no una solución cerrada».</w:t>
      </w:r>
      <w:r>
        <w:t xml:space="preserve"> Los equipos tienen absoluta libertad de modificar el chasis, fabricar aditamentos mediante impresión 3D, corte láser, aluminio o madera, y diseñar mecanismos propios para capturar pelotas o elevar cubos, siempre que respeten la caja de inspección de 22 × 22 × 20 cm, el peso máximo de 1,200 g y los límites electrónicos establecidos.</w:t>
      </w:r>
    </w:p>
    <w:p>
      <w:pPr>
        <w:pStyle w:val="Heading2"/>
      </w:pPr>
      <w:r>
        <w:t xml:space="preserve">13. Agenda oficial y ciclo operativo del evento</w:t>
      </w:r>
    </w:p>
    <w:p>
      <w:pPr>
        <w:keepNext/>
      </w:pPr>
      <w:r>
        <w:t xml:space="preserve">El evento está estructurado para llevar a cabo 50 matches regulares y playoffs, y concluirá puntualmente a las 14:00 horas.</w:t>
      </w:r>
    </w:p>
    <w:p>
      <w:pPr>
        <w:pStyle w:val="Caption"/>
        <w:keepNext/>
      </w:pPr>
      <w:r>
        <w:t xml:space="preserve">Tabla 2. Cronograma de actividades (sábado 5 de diciembre de 2026).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EEE5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 xml:space="preserve">Hora</w:t>
            </w:r>
          </w:p>
        </w:tc>
        <w:tc>
          <w:tcPr>
            <w:tcW w:type="dxa" w:w="73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EEE5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 xml:space="preserve">Actividad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07:45</w:t>
            </w:r>
          </w:p>
        </w:tc>
        <w:tc>
          <w:tcPr>
            <w:tcW w:type="dxa" w:w="73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Apertura de registro de equipos y acceso a pits.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07:45 – 08:20</w:t>
            </w:r>
          </w:p>
        </w:tc>
        <w:tc>
          <w:tcPr>
            <w:tcW w:type="dxa" w:w="73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Inspección técnica obligatoria, pesaje, caja de dimensiones y revisión de Bluetooth.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08:30</w:t>
            </w:r>
          </w:p>
        </w:tc>
        <w:tc>
          <w:tcPr>
            <w:tcW w:type="dxa" w:w="73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Ceremonia de inauguración.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08:42</w:t>
            </w:r>
          </w:p>
        </w:tc>
        <w:tc>
          <w:tcPr>
            <w:tcW w:type="dxa" w:w="73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Presentación oficial de las reglas de juego y reunión de capitanes.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08:50</w:t>
            </w:r>
          </w:p>
        </w:tc>
        <w:tc>
          <w:tcPr>
            <w:tcW w:type="dxa" w:w="73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Inicio de la ronda clasificatoria (Bloque 1: matches 1 al 25).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10:18</w:t>
            </w:r>
          </w:p>
        </w:tc>
        <w:tc>
          <w:tcPr>
            <w:tcW w:type="dxa" w:w="73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Pausa técnica para mantenimiento y descanso.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10:30</w:t>
            </w:r>
          </w:p>
        </w:tc>
        <w:tc>
          <w:tcPr>
            <w:tcW w:type="dxa" w:w="73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Segundo bloque de clasificatorias (Bloque 2: matches 26 al 50).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11:58</w:t>
            </w:r>
          </w:p>
        </w:tc>
        <w:tc>
          <w:tcPr>
            <w:tcW w:type="dxa" w:w="73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Conclusión de la ronda clasificatoria y publicación de la tabla general.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12:10</w:t>
            </w:r>
          </w:p>
        </w:tc>
        <w:tc>
          <w:tcPr>
            <w:tcW w:type="dxa" w:w="73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Ceremonia de selección de alianzas (Alliance Selection).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12:25</w:t>
            </w:r>
          </w:p>
        </w:tc>
        <w:tc>
          <w:tcPr>
            <w:tcW w:type="dxa" w:w="73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Fase final de playoffs (semifinales y final al mejor de 3).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13:00</w:t>
            </w:r>
          </w:p>
        </w:tc>
        <w:tc>
          <w:tcPr>
            <w:tcW w:type="dxa" w:w="73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Cierre de la arena competitiva.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13:15</w:t>
            </w:r>
          </w:p>
        </w:tc>
        <w:tc>
          <w:tcPr>
            <w:tcW w:type="dxa" w:w="73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Ceremonia de premiación oficial.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13:40</w:t>
            </w:r>
          </w:p>
        </w:tc>
        <w:tc>
          <w:tcPr>
            <w:tcW w:type="dxa" w:w="73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Fotografía oficial de todos los equipos y delegaciones.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13:50</w:t>
            </w:r>
          </w:p>
        </w:tc>
        <w:tc>
          <w:tcPr>
            <w:tcW w:type="dxa" w:w="73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Clausura del evento.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14:00</w:t>
            </w:r>
          </w:p>
        </w:tc>
        <w:tc>
          <w:tcPr>
            <w:tcW w:type="dxa" w:w="73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Cierre definitivo de instalaciones.</w:t>
            </w:r>
          </w:p>
        </w:tc>
      </w:tr>
    </w:tbl>
    <w:p>
      <w:pPr>
        <w:pStyle w:val="AfterTable"/>
      </w:pPr>
    </w:p>
    <w:p>
      <w:pPr>
        <w:pStyle w:val="Heading3"/>
      </w:pPr>
      <w:r>
        <w:t xml:space="preserve">Ciclo operativo de cancha (3:30 min por match)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1:30 min:</w:t>
      </w:r>
      <w:r>
        <w:t xml:space="preserve"> tiempo de juego efectivo del match.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2:00 min:</w:t>
      </w:r>
      <w:r>
        <w:t xml:space="preserve"> rotación de alianzas, confirmación de marcadores en sistema y reset del campo.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Meta del staff:</w:t>
      </w:r>
      <w:r>
        <w:t xml:space="preserve"> el restablecimiento físico de las 10 pelotas y 8 cubos debe realizarse en un tiempo igual o menor a </w:t>
      </w:r>
      <w:r>
        <w:rPr>
          <w:b/>
          <w:bCs/>
        </w:rPr>
        <w:t xml:space="preserve">60 segundos</w:t>
      </w:r>
      <w:r>
        <w:t xml:space="preserve">.</w:t>
      </w:r>
    </w:p>
    <w:p>
      <w:pPr>
        <w:pStyle w:val="Heading2"/>
      </w:pPr>
      <w:r>
        <w:t xml:space="preserve">14. Protocolo de pruebas físicas y validación previa al evento</w:t>
      </w:r>
    </w:p>
    <w:p>
      <w:pPr>
        <w:keepNext/>
      </w:pPr>
      <w:r>
        <w:t xml:space="preserve">Antes de publicar la versión definitiva de impresión para los equipos participantes, el comité organizador validará en pista los siguientes parámetros con cuatro robots operando simultáneamente:</w:t>
      </w:r>
    </w:p>
    <w:p>
      <w:pPr>
        <w:pStyle w:val="Caption"/>
        <w:keepNext/>
      </w:pPr>
      <w:r>
        <w:t xml:space="preserve">Tabla 3. Parámetros de validación en pista.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126"/>
      </w:tblGrid>
      <w:tr>
        <w:trPr>
          <w:cantSplit/>
          <w:tblHeader/>
        </w:trPr>
        <w:tc>
          <w:tcPr>
            <w:tcW w:type="dxa" w:w="22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EEE5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 xml:space="preserve">Variable de campo</w:t>
            </w:r>
          </w:p>
        </w:tc>
        <w:tc>
          <w:tcPr>
            <w:tcW w:type="dxa" w:w="27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EEE5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 xml:space="preserve">Propuesta base</w:t>
            </w:r>
          </w:p>
        </w:tc>
        <w:tc>
          <w:tcPr>
            <w:tcW w:type="dxa" w:w="41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EEE5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 xml:space="preserve">Criterio de aprobación física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</w:rPr>
              <w:t xml:space="preserve">Pelotas por alianza</w:t>
            </w:r>
          </w:p>
        </w:tc>
        <w:tc>
          <w:tcPr>
            <w:tcW w:type="dxa" w:w="27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t xml:space="preserve">5 pelotas (10 en cancha)</w:t>
            </w:r>
          </w:p>
        </w:tc>
        <w:tc>
          <w:tcPr>
            <w:tcW w:type="dxa" w:w="41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t xml:space="preserve">Verificar que no saturen el espacio de maniobra y que el tiempo de recuperación sea dinámico.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</w:rPr>
              <w:t xml:space="preserve">Cubos por alianza</w:t>
            </w:r>
          </w:p>
        </w:tc>
        <w:tc>
          <w:tcPr>
            <w:tcW w:type="dxa" w:w="27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t xml:space="preserve">4 cubos (8 en cancha)</w:t>
            </w:r>
          </w:p>
        </w:tc>
        <w:tc>
          <w:tcPr>
            <w:tcW w:type="dxa" w:w="41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t xml:space="preserve">Comprobar que los 8 cubos puedan disputarse en 90 s sin vaciar el reto antes de tiempo.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</w:rPr>
              <w:t xml:space="preserve">Nexus Zone</w:t>
            </w:r>
          </w:p>
        </w:tc>
        <w:tc>
          <w:tcPr>
            <w:tcW w:type="dxa" w:w="27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t xml:space="preserve">Círculo de 80 cm de diámetro</w:t>
            </w:r>
          </w:p>
        </w:tc>
        <w:tc>
          <w:tcPr>
            <w:tcW w:type="dxa" w:w="41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t xml:space="preserve">Confirmar que los 4 robots puedan iniciar y finalizar simultáneamente sin contacto forzado.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</w:rPr>
              <w:t xml:space="preserve">Rampa de bloques</w:t>
            </w:r>
          </w:p>
        </w:tc>
        <w:tc>
          <w:tcPr>
            <w:tcW w:type="dxa" w:w="27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t xml:space="preserve">Pendiente de ~14° (40 cm de largo / 10 cm de alto)</w:t>
            </w:r>
          </w:p>
        </w:tc>
        <w:tc>
          <w:tcPr>
            <w:tcW w:type="dxa" w:w="41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t xml:space="preserve">Asegurar que el robot base 2WD con llantas de goma suba con tracción adecuada sin patinar.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</w:rPr>
              <w:t xml:space="preserve">Plataforma de bloques</w:t>
            </w:r>
          </w:p>
        </w:tc>
        <w:tc>
          <w:tcPr>
            <w:tcW w:type="dxa" w:w="27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t xml:space="preserve">Altura de 10 cm</w:t>
            </w:r>
          </w:p>
        </w:tc>
        <w:tc>
          <w:tcPr>
            <w:tcW w:type="dxa" w:w="41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t xml:space="preserve">Verificar que mecanismos simples de servo puedan elevar y asegurar los cubos sin voltear el robot.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</w:rPr>
              <w:t xml:space="preserve">Equilibrio de puntajes</w:t>
            </w:r>
          </w:p>
        </w:tc>
        <w:tc>
          <w:tcPr>
            <w:tcW w:type="dxa" w:w="27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t xml:space="preserve">Pelota (1 pt) / Cubo (3 pts)</w:t>
            </w:r>
          </w:p>
        </w:tc>
        <w:tc>
          <w:tcPr>
            <w:tcW w:type="dxa" w:w="41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t xml:space="preserve">Confirmar que la dificultad mecánica del cubo compense estratégicamente la recolección de pelotas.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</w:rPr>
              <w:t xml:space="preserve">Endgame</w:t>
            </w:r>
          </w:p>
        </w:tc>
        <w:tc>
          <w:tcPr>
            <w:tcW w:type="dxa" w:w="27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t xml:space="preserve">2 pts por robot + 2 pts de bonus</w:t>
            </w:r>
          </w:p>
        </w:tc>
        <w:tc>
          <w:tcPr>
            <w:tcW w:type="dxa" w:w="41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t xml:space="preserve">Validar que el regreso premie la coordinación sin anular el esfuerzo de los primeros 75 segundos.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</w:rPr>
              <w:t xml:space="preserve">Reset de campo</w:t>
            </w:r>
          </w:p>
        </w:tc>
        <w:tc>
          <w:tcPr>
            <w:tcW w:type="dxa" w:w="27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t xml:space="preserve">≤ 60 segundos</w:t>
            </w:r>
          </w:p>
        </w:tc>
        <w:tc>
          <w:tcPr>
            <w:tcW w:type="dxa" w:w="41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shd w:fill="F8F4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/>
            </w:pPr>
            <w:r>
              <w:t xml:space="preserve">Comprobar que los réferis puedan colocar todos los elementos en posición oficial con agilidad.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rPr>
                <w:b/>
                <w:bCs/>
              </w:rPr>
              <w:t xml:space="preserve">Saturación Bluetooth</w:t>
            </w:r>
          </w:p>
        </w:tc>
        <w:tc>
          <w:tcPr>
            <w:tcW w:type="dxa" w:w="2700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40 módulos activos en el recinto</w:t>
            </w:r>
          </w:p>
        </w:tc>
        <w:tc>
          <w:tcPr>
            <w:tcW w:type="dxa" w:w="4126"/>
            <w:tcBorders>
              <w:top w:val="single" w:color="C4A8F0" w:sz="4"/>
              <w:left w:val="single" w:color="C4A8F0" w:sz="4"/>
              <w:bottom w:val="single" w:color="C4A8F0" w:sz="4"/>
              <w:right w:val="single" w:color="C4A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TableText"/>
              <w:keepNext w:val="false"/>
            </w:pPr>
            <w:r>
              <w:t xml:space="preserve">Ejecutar pruebas de radiofrecuencia para certificar que la asignación de nombres NEXUS_### y claves evite colisiones de señal.</w:t>
            </w:r>
          </w:p>
        </w:tc>
      </w:tr>
    </w:tbl>
    <w:p>
      <w:pPr>
        <w:pStyle w:val="AfterTable"/>
      </w:pPr>
    </w:p>
    <w:p>
      <w:pPr>
        <w:pStyle w:val="Heading2"/>
      </w:pPr>
      <w:r>
        <w:t xml:space="preserve">15. Costos de inscripción y referencia rápida</w:t>
      </w:r>
    </w:p>
    <w:p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Cuota de inscripción Early Bird:</w:t>
      </w:r>
      <w:r>
        <w:t xml:space="preserve"> $2,800 MXN por equipo (exclusivo para los primeros 20 equipos registrados).</w:t>
      </w:r>
    </w:p>
    <w:p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Cuota de inscripción regular:</w:t>
      </w:r>
      <w:r>
        <w:t xml:space="preserve"> $3,200 MXN por equipo.</w:t>
      </w:r>
    </w:p>
    <w:p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Capacidad máxima del torneo:</w:t>
      </w:r>
      <w:r>
        <w:t xml:space="preserve"> 40 equipos (cupo estrictamente limitado por el ciclo operativo).</w:t>
      </w:r>
    </w:p>
    <w:p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Robot sustituto (surrogate robot):</w:t>
      </w:r>
      <w:r>
        <w:t xml:space="preserve"> la organización contará con un robot de reemplazo neutral para evitar que un equipo compita en solitario si su aliado programado no se presenta a tiempo en queueing. El robot sustituto participa en la cancha, pero no suma puntos a su propio historial.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872" w:right="1440" w:bottom="2520" w:left="1440" w:header="0" w:footer="161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00BA"/>
        <w:sz w:val="16"/>
        <w:szCs w:val="16"/>
      </w:rPr>
      <w:t xml:space="preserve">Página </w:t>
    </w:r>
    <w:r>
      <w:rPr>
        <w:color w:val="5A00B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00BA"/>
        <w:sz w:val="16"/>
        <w:szCs w:val="16"/>
      </w:rPr>
      <w:t xml:space="preserve"> de </w:t>
    </w:r>
    <w:r>
      <w:rPr>
        <w:color w:val="5A00B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Fondo membretado" descr="Hoja membretada Tech Fest 2026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ndo_membre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  <w:lvl w:ilvl="1" w15:tentative="1">
      <w:start w:val="1"/>
      <w:numFmt w:val="bullet"/>
      <w:lvlText w:val="–"/>
      <w:lvlJc w:val="left"/>
      <w:pPr>
        <w:spacing w:after="60"/>
        <w:ind w:left="1080" w:hanging="360"/>
      </w:pPr>
    </w:lvl>
    <w:lvl w:ilvl="2" w15:tentative="1">
      <w:start w:val="1"/>
      <w:numFmt w:val="bullet"/>
      <w:lvlText w:val="▪"/>
      <w:lvlJc w:val="left"/>
      <w:pPr>
        <w:spacing w:after="40"/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</w:lvl>
    <w:lvl w:ilvl="1" w15:tentative="1">
      <w:start w:val="1"/>
      <w:numFmt w:val="lowerLetter"/>
      <w:lvlText w:val="%2)"/>
      <w:lvlJc w:val="left"/>
      <w:pPr>
        <w:spacing w:after="60"/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>
      <w:pPr>
        <w:spacing w:after="120" w:line="276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7B15E8"/>
      <w:sz w:val="32"/>
      <w:szCs w:val="32"/>
    </w:rPr>
  </w:style>
  <w:style w:type="paragraph" w:styleId="Heading2">
    <w:name w:val="Heading 2"/>
    <w:basedOn w:val="Normal"/>
    <w:next w:val="Normal"/>
    <w:qFormat/>
    <w:rPr>
      <w:color w:val="7B15E8"/>
      <w:sz w:val="26"/>
      <w:szCs w:val="26"/>
    </w:rPr>
  </w:style>
  <w:style w:type="paragraph" w:styleId="Heading3">
    <w:name w:val="Heading 3"/>
    <w:basedOn w:val="Normal"/>
    <w:next w:val="Normal"/>
    <w:qFormat/>
    <w:rPr>
      <w:color w:val="5A00BA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7B15E8"/>
    </w:rPr>
  </w:style>
  <w:style w:type="paragraph" w:styleId="Heading5">
    <w:name w:val="Heading 5"/>
    <w:basedOn w:val="Normal"/>
    <w:next w:val="Normal"/>
    <w:qFormat/>
    <w:rPr>
      <w:color w:val="7B15E8"/>
    </w:rPr>
  </w:style>
  <w:style w:type="paragraph" w:styleId="Heading6">
    <w:name w:val="Heading 6"/>
    <w:basedOn w:val="Normal"/>
    <w:next w:val="Normal"/>
    <w:qFormat/>
    <w:rPr>
      <w:color w:val="5A00BA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7B15E8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  <w:jc w:val="center"/>
    </w:pPr>
    <w:rPr>
      <w:rFonts w:ascii="Arial" w:cs="Arial" w:eastAsia="Arial" w:hAnsi="Arial"/>
      <w:b/>
      <w:bCs/>
      <w:color w:val="5A00BA"/>
      <w:sz w:val="44"/>
      <w:szCs w:val="44"/>
    </w:rPr>
  </w:style>
  <w:style w:type="paragraph" w:styleId="Subtitle">
    <w:name w:val="Subtitle"/>
    <w:basedOn w:val="Normal"/>
    <w:pPr>
      <w:spacing w:after="160"/>
      <w:jc w:val="center"/>
    </w:pPr>
    <w:rPr>
      <w:rFonts w:ascii="Arial" w:cs="Arial" w:eastAsia="Arial" w:hAnsi="Arial"/>
      <w:color w:val="7B15E8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5A00BA" w:sz="12" w:space="4"/>
      </w:pBdr>
      <w:spacing w:after="240" w:before="0"/>
      <w:jc w:val="left"/>
      <w:outlineLvl w:val="0"/>
    </w:pPr>
    <w:rPr>
      <w:rFonts w:ascii="Arial" w:cs="Arial" w:eastAsia="Arial" w:hAnsi="Arial"/>
      <w:b/>
      <w:bCs/>
      <w:color w:val="5A00B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60" w:before="360"/>
      <w:jc w:val="left"/>
      <w:outlineLvl w:val="1"/>
    </w:pPr>
    <w:rPr>
      <w:rFonts w:ascii="Arial" w:cs="Arial" w:eastAsia="Arial" w:hAnsi="Arial"/>
      <w:b/>
      <w:bCs/>
      <w:color w:val="5A00B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40"/>
      <w:jc w:val="left"/>
      <w:outlineLvl w:val="2"/>
    </w:pPr>
    <w:rPr>
      <w:rFonts w:ascii="Arial" w:cs="Arial" w:eastAsia="Arial" w:hAnsi="Arial"/>
      <w:b/>
      <w:bCs/>
      <w:color w:val="7B15E8"/>
      <w:sz w:val="24"/>
      <w:szCs w:val="24"/>
    </w:rPr>
  </w:style>
  <w:style w:type="paragraph" w:styleId="Caption">
    <w:name w:val="Caption"/>
    <w:basedOn w:val="Normal"/>
    <w:next w:val="Normal"/>
    <w:pPr>
      <w:spacing w:after="80" w:before="120"/>
      <w:jc w:val="left"/>
    </w:pPr>
    <w:rPr>
      <w:rFonts w:ascii="Arial" w:cs="Arial" w:eastAsia="Arial" w:hAnsi="Arial"/>
      <w:i/>
      <w:iCs/>
      <w:color w:val="595959"/>
      <w:sz w:val="18"/>
      <w:szCs w:val="18"/>
    </w:rPr>
  </w:style>
  <w:style w:type="paragraph" w:styleId="TableText">
    <w:name w:val="Table Text"/>
    <w:basedOn w:val="Normal"/>
    <w:pPr>
      <w:spacing w:after="0" w:before="0" w:line="252" w:lineRule="auto"/>
      <w:jc w:val="left"/>
    </w:pPr>
    <w:rPr>
      <w:rFonts w:ascii="Arial" w:cs="Arial" w:eastAsia="Arial" w:hAnsi="Arial"/>
      <w:sz w:val="20"/>
      <w:szCs w:val="20"/>
    </w:rPr>
  </w:style>
  <w:style w:type="paragraph" w:styleId="AfterTable">
    <w:name w:val="After Table"/>
    <w:basedOn w:val="Normal"/>
    <w:pPr>
      <w:spacing w:after="120" w:before="0"/>
    </w:pPr>
    <w:rPr>
      <w:sz w:val="8"/>
      <w:szCs w:val="8"/>
    </w:rPr>
  </w:style>
  <w:style w:type="paragraph" w:styleId="Note">
    <w:name w:val="Note"/>
    <w:basedOn w:val="Normal"/>
    <w:pPr>
      <w:spacing w:after="160"/>
    </w:pPr>
    <w:rPr>
      <w:rFonts w:ascii="Arial" w:cs="Arial" w:eastAsia="Arial" w:hAnsi="Arial"/>
      <w:i/>
      <w:iCs/>
      <w:color w:val="595959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endnotes" Target="endnote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9A249C3E85FF4E8099EC1FB330E02B" ma:contentTypeVersion="16" ma:contentTypeDescription="Crear nuevo documento." ma:contentTypeScope="" ma:versionID="e486a6cb89c5b33f803f14d96981426c">
  <xsd:schema xmlns:xsd="http://www.w3.org/2001/XMLSchema" xmlns:xs="http://www.w3.org/2001/XMLSchema" xmlns:p="http://schemas.microsoft.com/office/2006/metadata/properties" xmlns:ns2="571d0b5e-2a23-43d4-921f-557a9f537e40" xmlns:ns3="ecf8623c-1da3-4199-b641-011ba3a76ccd" targetNamespace="http://schemas.microsoft.com/office/2006/metadata/properties" ma:root="true" ma:fieldsID="9b1a4137b85049b5880f028cab56abd4" ns2:_="" ns3:_="">
    <xsd:import namespace="571d0b5e-2a23-43d4-921f-557a9f537e40"/>
    <xsd:import namespace="ecf8623c-1da3-4199-b641-011ba3a76c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1d0b5e-2a23-43d4-921f-557a9f537e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f8623c-1da3-4199-b641-011ba3a76c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50dd1bf-fdcd-4dab-94ed-3dffe0bc3b24}" ma:internalName="TaxCatchAll" ma:showField="CatchAllData" ma:web="ecf8623c-1da3-4199-b641-011ba3a76c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1d0b5e-2a23-43d4-921f-557a9f537e40">
      <Terms xmlns="http://schemas.microsoft.com/office/infopath/2007/PartnerControls"/>
    </lcf76f155ced4ddcb4097134ff3c332f>
    <TaxCatchAll xmlns="ecf8623c-1da3-4199-b641-011ba3a76ccd" xsi:nil="true"/>
  </documentManagement>
</p:properties>
</file>

<file path=customXml/itemProps1.xml><?xml version="1.0" encoding="utf-8"?>
<ds:datastoreItem xmlns:ds="http://schemas.openxmlformats.org/officeDocument/2006/customXml" ds:itemID="{54E6F84E-5002-4E77-9EAE-63EEADF787C9}"/>
</file>

<file path=customXml/itemProps2.xml><?xml version="1.0" encoding="utf-8"?>
<ds:datastoreItem xmlns:ds="http://schemas.openxmlformats.org/officeDocument/2006/customXml" ds:itemID="{03083418-A57E-43E6-8C36-179525E5F44D}"/>
</file>

<file path=customXml/itemProps3.xml><?xml version="1.0" encoding="utf-8"?>
<ds:datastoreItem xmlns:ds="http://schemas.openxmlformats.org/officeDocument/2006/customXml" ds:itemID="{B937A419-D878-4935-A029-D8E04A0AEFA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Reglamento Nexus Challenge 2026</dc:title>
  <dc:creator>Comité organizador</dc:creator>
  <dc:description>Reglamento Nexus Challenge 2026</dc:description>
  <cp:lastModifiedBy>Un-named</cp:lastModifiedBy>
  <cp:revision>1</cp:revision>
  <dcterms:created xsi:type="dcterms:W3CDTF">2026-10-01T22:44:46Z</dcterms:created>
  <dcterms:modified xsi:type="dcterms:W3CDTF">2026-10-01T22:44:46Z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0x0101002A9A249C3E85FF4E8099EC1FB330E02B</vt:lpwstr>
  </property>
</Properties>
</file>