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1275"/>
        <w:gridCol w:w="135"/>
        <w:gridCol w:w="3720"/>
        <w:gridCol w:w="255"/>
        <w:gridCol w:w="1320"/>
        <w:gridCol w:w="1335"/>
        <w:tblGridChange w:id="0">
          <w:tblGrid>
            <w:gridCol w:w="1170"/>
            <w:gridCol w:w="1275"/>
            <w:gridCol w:w="135"/>
            <w:gridCol w:w="3720"/>
            <w:gridCol w:w="255"/>
            <w:gridCol w:w="1320"/>
            <w:gridCol w:w="1335"/>
          </w:tblGrid>
        </w:tblGridChange>
      </w:tblGrid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02">
            <w:pPr>
              <w:spacing w:after="100" w:before="100" w:lineRule="auto"/>
              <w:ind w:right="-24.448818897637352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 de Negocio: Servicio de Catering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09">
            <w:pPr>
              <w:spacing w:after="100" w:before="10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spacing w:after="100" w:before="10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Proporcionar un servicio de catering a distintos eventos y reuniones realizados en las instalaciones de la UTN - FRVM.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10">
            <w:pPr>
              <w:spacing w:after="100" w:before="10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Cliente del Proceso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Reuniones y eventos que requieran de un servicio de catering.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Producto del Proceso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A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Servicio de catering requerido y factura.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Proveedores del Proceso e insumos que brinda cada uno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Insumo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Proceso de reabastecimiento.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9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Materia prima y productos varios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Proceso de verificación de calidad.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0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Mercadería en buenas condiciones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Proceso de definición de precios y formas de pago.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7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Listado de precios y formas de pago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Proceso de mantenimiento de equipos.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E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Equipos en condiciones óptimas para operar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Proceso de pago de insumos.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5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Energía eléctrica y gas natural necesarios para operar los equipos del local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Proceso de Elaboración de productos.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C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Productos elaborados listos para la venta: pizzas, empanadas, sándwiches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4F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Recursos del Proceso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52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Humanos</w:t>
            </w:r>
          </w:p>
        </w:tc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53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Materiales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Cantineros.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A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Papelería.</w:t>
            </w:r>
          </w:p>
          <w:p w:rsidR="00000000" w:rsidDel="00000000" w:rsidP="00000000" w:rsidRDefault="00000000" w:rsidRPr="00000000" w14:paraId="0000005B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Cafetera.</w:t>
            </w:r>
          </w:p>
          <w:p w:rsidR="00000000" w:rsidDel="00000000" w:rsidP="00000000" w:rsidRDefault="00000000" w:rsidRPr="00000000" w14:paraId="0000005C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Trituradora.</w:t>
            </w:r>
          </w:p>
          <w:p w:rsidR="00000000" w:rsidDel="00000000" w:rsidP="00000000" w:rsidRDefault="00000000" w:rsidRPr="00000000" w14:paraId="0000005D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Tostadora.</w:t>
            </w:r>
          </w:p>
          <w:p w:rsidR="00000000" w:rsidDel="00000000" w:rsidP="00000000" w:rsidRDefault="00000000" w:rsidRPr="00000000" w14:paraId="0000005E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Microondas.</w:t>
            </w:r>
          </w:p>
          <w:p w:rsidR="00000000" w:rsidDel="00000000" w:rsidP="00000000" w:rsidRDefault="00000000" w:rsidRPr="00000000" w14:paraId="0000005F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Calculadora.</w:t>
            </w:r>
          </w:p>
          <w:p w:rsidR="00000000" w:rsidDel="00000000" w:rsidP="00000000" w:rsidRDefault="00000000" w:rsidRPr="00000000" w14:paraId="00000060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Horno.</w:t>
            </w:r>
          </w:p>
          <w:p w:rsidR="00000000" w:rsidDel="00000000" w:rsidP="00000000" w:rsidRDefault="00000000" w:rsidRPr="00000000" w14:paraId="00000061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Licuadora.</w:t>
            </w:r>
          </w:p>
          <w:p w:rsidR="00000000" w:rsidDel="00000000" w:rsidP="00000000" w:rsidRDefault="00000000" w:rsidRPr="00000000" w14:paraId="00000062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Vajillas.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65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Formulario, registro e información del proceso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68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Formularios</w:t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69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Registros 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6B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información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Factura</w:t>
            </w:r>
          </w:p>
          <w:p w:rsidR="00000000" w:rsidDel="00000000" w:rsidP="00000000" w:rsidRDefault="00000000" w:rsidRPr="00000000" w14:paraId="00000070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Menú detallado con la información del evento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100" w:before="100" w:lineRule="auto"/>
              <w:ind w:right="-24.44881889763735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Listado de precios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74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Reglas de Negocio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7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La cantina estará abierta por la tarde y noche (</w:t>
            </w:r>
            <w:r w:rsidDel="00000000" w:rsidR="00000000" w:rsidRPr="00000000">
              <w:rPr>
                <w:i w:val="1"/>
                <w:rtl w:val="0"/>
              </w:rPr>
              <w:t xml:space="preserve">en el horario de la universidad</w:t>
            </w:r>
            <w:r w:rsidDel="00000000" w:rsidR="00000000" w:rsidRPr="00000000">
              <w:rPr>
                <w:rtl w:val="0"/>
              </w:rPr>
              <w:t xml:space="preserve">) los días de semana, y abierta por la mañana los sábados.</w:t>
            </w:r>
          </w:p>
          <w:p w:rsidR="00000000" w:rsidDel="00000000" w:rsidP="00000000" w:rsidRDefault="00000000" w:rsidRPr="00000000" w14:paraId="00000078">
            <w:pPr>
              <w:spacing w:after="100" w:before="10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Se deberán devolver los productos retornables.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Para reservar el servicio de catering, se acreditará el dinero, en caso del rectorado, mediante el abono a cuenta corriente o, si se trata de un departamento, en la cuenta del mismo.</w:t>
            </w:r>
          </w:p>
          <w:p w:rsidR="00000000" w:rsidDel="00000000" w:rsidP="00000000" w:rsidRDefault="00000000" w:rsidRPr="00000000" w14:paraId="0000007A">
            <w:pPr>
              <w:spacing w:after="100" w:before="100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Se efectuará factura.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Para reservar el servicio, se deberá enviar un documento con los detalles del evento (duración, cantidad de personas) y los alimentos o bebidas requeridas (opcional).</w:t>
            </w:r>
          </w:p>
          <w:p w:rsidR="00000000" w:rsidDel="00000000" w:rsidP="00000000" w:rsidRDefault="00000000" w:rsidRPr="00000000" w14:paraId="0000007C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Se entregará una cotización si el cliente lo desea.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80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3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Reglamentaciones fiscales establecidas para la facturación vigentes en AFIP.</w:t>
            </w:r>
          </w:p>
          <w:p w:rsidR="00000000" w:rsidDel="00000000" w:rsidP="00000000" w:rsidRDefault="00000000" w:rsidRPr="00000000" w14:paraId="00000084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Se debe cumplir con la ley 18.284 (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constituye un reglamento técnico que establece las disposiciones higiénico-sanitarias, bromatológicas y de identificación comercial que deben cumplir las personas físicas o jurídicas, los establecimientos y los productos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88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Listado de actividades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B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Ver flujo de actividades con notación BPMN 2.0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8F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92">
            <w:pPr>
              <w:spacing w:after="100" w:before="100"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eeece1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ind w:right="-24.44881889763735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Descripción del cambio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Autor/res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15/05/23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Creación de plantilla.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  <w:t xml:space="preserve">Grupo “B”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ind w:right="-24.44881889763735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ías Presuttari" w:id="0" w:date="2023-05-15T20:01:45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¿?</w:t>
      </w:r>
    </w:p>
  </w:comment>
  <w:comment w:author="Matías Presuttari" w:id="1" w:date="2023-05-15T20:05:28Z"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