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680" w:rsidRPr="00004680" w:rsidRDefault="00004680" w:rsidP="00004680">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D06831" w:rsidRPr="009E1938" w:rsidRDefault="00D06831" w:rsidP="00D06831">
      <w:pPr>
        <w:spacing w:line="480" w:lineRule="auto"/>
        <w:ind w:right="-279"/>
        <w:jc w:val="both"/>
        <w:rPr>
          <w:rFonts w:eastAsiaTheme="majorEastAsia"/>
          <w:color w:val="2F5496" w:themeColor="accent1" w:themeShade="BF"/>
          <w:sz w:val="28"/>
          <w:szCs w:val="32"/>
          <w:lang w:val="en-US"/>
        </w:rPr>
      </w:pPr>
      <w:r w:rsidRPr="009E1938">
        <w:rPr>
          <w:rFonts w:eastAsiaTheme="majorEastAsia"/>
          <w:color w:val="2F5496" w:themeColor="accent1" w:themeShade="BF"/>
          <w:sz w:val="28"/>
          <w:szCs w:val="32"/>
          <w:lang w:val="en-US"/>
        </w:rPr>
        <w:t>Appendix S1. Additional information of the fish sampling design</w:t>
      </w:r>
    </w:p>
    <w:p w:rsidR="00D06831" w:rsidRPr="00B70D50" w:rsidRDefault="00D06831" w:rsidP="00D06831">
      <w:pPr>
        <w:spacing w:line="480" w:lineRule="auto"/>
        <w:jc w:val="both"/>
        <w:rPr>
          <w:b/>
          <w:bCs/>
          <w:color w:val="000000" w:themeColor="text1"/>
          <w:szCs w:val="22"/>
          <w:lang w:val="en-US"/>
        </w:rPr>
      </w:pPr>
      <w:r w:rsidRPr="00B70D50">
        <w:rPr>
          <w:color w:val="000000" w:themeColor="text1"/>
          <w:lang w:val="en-US"/>
        </w:rPr>
        <w:t xml:space="preserve">Fish were caught within each depth stratum using two types of benthic multi-mesh gill nets: a small mesh net (stretch mesh size = 13 to 38 mm; and length 1.8 m x 12 m) and a large mesh net (stretch mesh size = 38 to 127 mm; and length 1.8 m x 24.8 m), the latter net conforming to standards recommended for sampling North American lakes (Bonar et al. 2009). These mesh sizes catch a broad size range of fish, providing a cost-effective way to estimate fish community size structure (Bonar et al. 2009). Nets were set overnight for 18 hours. The small mesh gear was deployed in all lakes in depth strata from 0 to 20 m. In deeper lakes (i.e., 358 lakes with depth &gt; 20 m), the large mesh gear alone was deployed in depth strata &gt; 20 m. This aspect of the sampling design could reduce the potential catch of small fish in deep lakes, leading to biases in estimating biomass distributions. We explored this potential bias in our analyses, but it did not affect our overall conclusions (see </w:t>
      </w:r>
      <w:r w:rsidRPr="00B70D50">
        <w:rPr>
          <w:i/>
          <w:color w:val="000000" w:themeColor="text1"/>
          <w:lang w:val="en-US"/>
        </w:rPr>
        <w:t>Results</w:t>
      </w:r>
      <w:r w:rsidRPr="00B70D50">
        <w:rPr>
          <w:color w:val="000000" w:themeColor="text1"/>
          <w:lang w:val="en-US"/>
        </w:rPr>
        <w:t>). Although most fish caught were identified, unidentified fish taxa representing less than 0.1 % of the total biomass were excluded from the analyses. Major species are listed in Table S1.</w:t>
      </w:r>
    </w:p>
    <w:p w:rsidR="00D06831" w:rsidRPr="009E1938" w:rsidRDefault="00D06831" w:rsidP="00D06831">
      <w:pPr>
        <w:spacing w:line="480" w:lineRule="auto"/>
        <w:ind w:right="-279"/>
        <w:jc w:val="both"/>
        <w:rPr>
          <w:rFonts w:eastAsiaTheme="majorEastAsia"/>
          <w:color w:val="2F5496" w:themeColor="accent1" w:themeShade="BF"/>
          <w:sz w:val="28"/>
          <w:szCs w:val="32"/>
          <w:lang w:val="en-US"/>
        </w:rPr>
      </w:pPr>
      <w:r w:rsidRPr="009E1938">
        <w:rPr>
          <w:rFonts w:eastAsiaTheme="majorEastAsia"/>
          <w:color w:val="2F5496" w:themeColor="accent1" w:themeShade="BF"/>
          <w:sz w:val="28"/>
          <w:szCs w:val="32"/>
          <w:lang w:val="en-US"/>
        </w:rPr>
        <w:t>References</w:t>
      </w:r>
    </w:p>
    <w:p w:rsidR="00333829" w:rsidRPr="00B70D50" w:rsidRDefault="00D06831" w:rsidP="00D06831">
      <w:pPr>
        <w:spacing w:line="480" w:lineRule="auto"/>
        <w:ind w:left="709" w:hanging="709"/>
        <w:jc w:val="both"/>
        <w:rPr>
          <w:color w:val="000000" w:themeColor="text1"/>
          <w:lang w:val="en-US"/>
        </w:rPr>
      </w:pPr>
      <w:r w:rsidRPr="00B70D50">
        <w:rPr>
          <w:color w:val="000000" w:themeColor="text1"/>
          <w:lang w:val="en-US"/>
        </w:rPr>
        <w:t>Bonar, S.A., W.A. Hubert, and D.W. Willis. 2009. Standard methods for sampling North American freshwater fishes. American Fisheries Society, Bethesda, Maryland.</w:t>
      </w:r>
    </w:p>
    <w:p w:rsidR="00B70D50" w:rsidRPr="00B70D50" w:rsidRDefault="00B70D50">
      <w:pPr>
        <w:rPr>
          <w:color w:val="000000" w:themeColor="text1"/>
          <w:lang w:val="en-US"/>
        </w:rPr>
      </w:pPr>
      <w:r w:rsidRPr="00B70D50">
        <w:rPr>
          <w:color w:val="000000" w:themeColor="text1"/>
          <w:lang w:val="en-US"/>
        </w:rPr>
        <w:br w:type="page"/>
      </w:r>
      <w:bookmarkStart w:id="0" w:name="_GoBack"/>
      <w:bookmarkEnd w:id="0"/>
    </w:p>
    <w:p w:rsidR="00B70D50" w:rsidRPr="00B70D50" w:rsidRDefault="00B70D50" w:rsidP="00B70D50">
      <w:pPr>
        <w:spacing w:line="480" w:lineRule="auto"/>
        <w:jc w:val="both"/>
        <w:rPr>
          <w:color w:val="000000" w:themeColor="text1"/>
          <w:lang w:val="en-US"/>
        </w:rPr>
      </w:pPr>
      <w:r w:rsidRPr="00B70D50">
        <w:rPr>
          <w:b/>
          <w:bCs/>
          <w:color w:val="000000" w:themeColor="text1"/>
          <w:lang w:val="en-US"/>
        </w:rPr>
        <w:lastRenderedPageBreak/>
        <w:t xml:space="preserve">Table S1. </w:t>
      </w:r>
      <w:r w:rsidRPr="00B70D50">
        <w:rPr>
          <w:color w:val="000000" w:themeColor="text1"/>
          <w:lang w:val="en-US"/>
        </w:rPr>
        <w:t>List of the most common fish species caught. Species are separated into two size groups based on mean body mass: Large (</w:t>
      </w:r>
      <w:r w:rsidRPr="00B70D50">
        <w:rPr>
          <w:color w:val="000000" w:themeColor="text1"/>
          <w:lang w:val="en-US"/>
        </w:rPr>
        <w:sym w:font="Symbol" w:char="F0B3"/>
      </w:r>
      <w:r w:rsidRPr="00B70D50">
        <w:rPr>
          <w:color w:val="000000" w:themeColor="text1"/>
          <w:lang w:val="en-US"/>
        </w:rPr>
        <w:t xml:space="preserve"> 250 grams) and small fish (&lt; 250 grams). Within each fish size group, species are shown in order of their frequency of occurrence (Proportion of lakes). Mean biomass per unit effort (BPUE) is the expected mean catch (in kilograms) from 200 m of gillnet with equal lengths of the small and large mesh gear, calculated for lakes where the species was present. Mean corrected BPUE is the selectivity corrected score (see Appendix S3 for details).</w:t>
      </w:r>
    </w:p>
    <w:tbl>
      <w:tblPr>
        <w:tblW w:w="10207" w:type="dxa"/>
        <w:tblInd w:w="-709" w:type="dxa"/>
        <w:tblLook w:val="04A0" w:firstRow="1" w:lastRow="0" w:firstColumn="1" w:lastColumn="0" w:noHBand="0" w:noVBand="1"/>
      </w:tblPr>
      <w:tblGrid>
        <w:gridCol w:w="683"/>
        <w:gridCol w:w="1461"/>
        <w:gridCol w:w="1338"/>
        <w:gridCol w:w="1294"/>
        <w:gridCol w:w="1527"/>
        <w:gridCol w:w="1161"/>
        <w:gridCol w:w="883"/>
        <w:gridCol w:w="750"/>
        <w:gridCol w:w="1110"/>
      </w:tblGrid>
      <w:tr w:rsidR="00B70D50" w:rsidRPr="00B70D50" w:rsidTr="00AE5F4B">
        <w:trPr>
          <w:trHeight w:val="552"/>
        </w:trPr>
        <w:tc>
          <w:tcPr>
            <w:tcW w:w="0" w:type="auto"/>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Fish size</w:t>
            </w:r>
          </w:p>
        </w:tc>
        <w:tc>
          <w:tcPr>
            <w:tcW w:w="0" w:type="auto"/>
            <w:tcBorders>
              <w:top w:val="single" w:sz="4" w:space="0" w:color="000000"/>
              <w:left w:val="nil"/>
              <w:bottom w:val="single" w:sz="4" w:space="0" w:color="auto"/>
              <w:right w:val="nil"/>
            </w:tcBorders>
            <w:vAlign w:val="center"/>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Order</w:t>
            </w:r>
          </w:p>
        </w:tc>
        <w:tc>
          <w:tcPr>
            <w:tcW w:w="0" w:type="auto"/>
            <w:tcBorders>
              <w:top w:val="single" w:sz="4" w:space="0" w:color="000000"/>
              <w:left w:val="nil"/>
              <w:bottom w:val="single" w:sz="4" w:space="0" w:color="auto"/>
              <w:right w:val="nil"/>
            </w:tcBorders>
            <w:vAlign w:val="center"/>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Family</w:t>
            </w:r>
          </w:p>
        </w:tc>
        <w:tc>
          <w:tcPr>
            <w:tcW w:w="0" w:type="auto"/>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Common Name</w:t>
            </w:r>
          </w:p>
        </w:tc>
        <w:tc>
          <w:tcPr>
            <w:tcW w:w="0" w:type="auto"/>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Scientific name</w:t>
            </w:r>
          </w:p>
        </w:tc>
        <w:tc>
          <w:tcPr>
            <w:tcW w:w="0" w:type="auto"/>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Proportion of lakes</w:t>
            </w:r>
          </w:p>
        </w:tc>
        <w:tc>
          <w:tcPr>
            <w:tcW w:w="0" w:type="auto"/>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Mean body mass (grams)</w:t>
            </w:r>
          </w:p>
        </w:tc>
        <w:tc>
          <w:tcPr>
            <w:tcW w:w="0" w:type="auto"/>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 xml:space="preserve">Mean BPUE </w:t>
            </w:r>
          </w:p>
        </w:tc>
        <w:tc>
          <w:tcPr>
            <w:tcW w:w="1110" w:type="dxa"/>
            <w:tcBorders>
              <w:top w:val="single" w:sz="4" w:space="0" w:color="000000"/>
              <w:left w:val="nil"/>
              <w:bottom w:val="single" w:sz="4" w:space="0" w:color="auto"/>
              <w:right w:val="nil"/>
            </w:tcBorders>
            <w:shd w:val="clear" w:color="auto" w:fill="auto"/>
            <w:vAlign w:val="center"/>
            <w:hideMark/>
          </w:tcPr>
          <w:p w:rsidR="00B70D50" w:rsidRPr="00B70D50" w:rsidRDefault="00B70D50" w:rsidP="00AE5F4B">
            <w:pPr>
              <w:spacing w:line="360" w:lineRule="auto"/>
              <w:rPr>
                <w:b/>
                <w:bCs/>
                <w:color w:val="000000" w:themeColor="text1"/>
                <w:sz w:val="20"/>
                <w:szCs w:val="20"/>
                <w:lang w:val="en-US"/>
              </w:rPr>
            </w:pPr>
            <w:r w:rsidRPr="00B70D50">
              <w:rPr>
                <w:b/>
                <w:bCs/>
                <w:color w:val="000000" w:themeColor="text1"/>
                <w:sz w:val="20"/>
                <w:szCs w:val="20"/>
                <w:lang w:val="en-US"/>
              </w:rPr>
              <w:t xml:space="preserve">Mean corrected BPUE </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Large</w:t>
            </w: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Cypriniformes</w:t>
            </w:r>
            <w:proofErr w:type="spellEnd"/>
            <w:r w:rsidRPr="00B70D50">
              <w:rPr>
                <w:color w:val="000000" w:themeColor="text1"/>
                <w:sz w:val="20"/>
                <w:szCs w:val="20"/>
                <w:lang w:val="en-US"/>
              </w:rPr>
              <w:t xml:space="preserve"> </w:t>
            </w:r>
          </w:p>
        </w:tc>
        <w:tc>
          <w:tcPr>
            <w:tcW w:w="0" w:type="auto"/>
            <w:tcBorders>
              <w:top w:val="nil"/>
              <w:left w:val="nil"/>
              <w:bottom w:val="nil"/>
              <w:right w:val="nil"/>
            </w:tcBorders>
            <w:vAlign w:val="center"/>
          </w:tcPr>
          <w:p w:rsidR="00B70D50" w:rsidRPr="00B70D50" w:rsidRDefault="00B70D50" w:rsidP="00AE5F4B">
            <w:pPr>
              <w:rPr>
                <w:color w:val="000000" w:themeColor="text1"/>
                <w:sz w:val="20"/>
                <w:szCs w:val="20"/>
                <w:lang w:val="en-US"/>
              </w:rPr>
            </w:pPr>
            <w:proofErr w:type="spellStart"/>
            <w:r w:rsidRPr="00B70D50">
              <w:rPr>
                <w:color w:val="000000" w:themeColor="text1"/>
                <w:sz w:val="20"/>
                <w:szCs w:val="20"/>
                <w:lang w:val="en-US"/>
              </w:rPr>
              <w:t>Catostomidae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White Sucker</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Catostomus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commersonii</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0.95</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397</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5.90</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11.44</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Esociformes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Esocidae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Northern Pike</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Esox</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lucius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0.75</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1005</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5.39</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7.89</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Walleye</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r w:rsidRPr="00B70D50">
              <w:rPr>
                <w:i/>
                <w:color w:val="000000" w:themeColor="text1"/>
                <w:sz w:val="20"/>
                <w:szCs w:val="20"/>
                <w:lang w:val="en-US"/>
              </w:rPr>
              <w:t xml:space="preserve">Sander </w:t>
            </w:r>
            <w:proofErr w:type="spellStart"/>
            <w:r w:rsidRPr="00B70D50">
              <w:rPr>
                <w:i/>
                <w:color w:val="000000" w:themeColor="text1"/>
                <w:sz w:val="20"/>
                <w:szCs w:val="20"/>
                <w:lang w:val="en-US"/>
              </w:rPr>
              <w:t>vitreus</w:t>
            </w:r>
            <w:proofErr w:type="spellEnd"/>
            <w:r w:rsidRPr="00B70D50">
              <w:rPr>
                <w:i/>
                <w:color w:val="000000" w:themeColor="text1"/>
                <w:sz w:val="20"/>
                <w:szCs w:val="20"/>
                <w:lang w:val="en-US"/>
              </w:rPr>
              <w:t xml:space="preserve"> </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0.71</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482</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11.04</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21.09</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Salmoniformes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Salmonidae</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Lake Whitefish</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Coregonus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clupeaformis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0.54</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584</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4.39</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7.61</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Centrarchidae</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Perciformes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Smallmouth Bass</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Micropterus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dolomieu</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0.47</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340</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1.84</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4.03</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Salmoniformes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Salmonidae</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Lake Trout</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Salvelinus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namaycush</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0.43</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1219</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5.05</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6.88</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Gadiformes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Lotidae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Burbot</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r w:rsidRPr="00B70D50">
              <w:rPr>
                <w:i/>
                <w:color w:val="000000" w:themeColor="text1"/>
                <w:sz w:val="20"/>
                <w:szCs w:val="20"/>
                <w:lang w:val="en-US"/>
              </w:rPr>
              <w:t xml:space="preserve">Lota </w:t>
            </w:r>
            <w:proofErr w:type="spellStart"/>
            <w:r w:rsidRPr="00B70D50">
              <w:rPr>
                <w:i/>
                <w:color w:val="000000" w:themeColor="text1"/>
                <w:sz w:val="20"/>
                <w:szCs w:val="20"/>
                <w:lang w:val="en-US"/>
              </w:rPr>
              <w:t>lota</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0.38</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714</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0.89</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1.46</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Siluriformes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Ictaluridae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Brown Bullhead</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Ameiurus</w:t>
            </w:r>
            <w:proofErr w:type="spellEnd"/>
            <w:r w:rsidRPr="00B70D50">
              <w:rPr>
                <w:i/>
                <w:color w:val="000000" w:themeColor="text1"/>
                <w:sz w:val="20"/>
                <w:szCs w:val="20"/>
                <w:lang w:val="en-US"/>
              </w:rPr>
              <w:t xml:space="preserve"> nebulosus</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0.19</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290</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1.08</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2.91</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Catostomidae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Shorthead</w:t>
            </w:r>
            <w:proofErr w:type="spellEnd"/>
            <w:r w:rsidRPr="00B70D50">
              <w:rPr>
                <w:color w:val="000000" w:themeColor="text1"/>
                <w:sz w:val="20"/>
                <w:szCs w:val="20"/>
                <w:lang w:val="en-US"/>
              </w:rPr>
              <w:t xml:space="preserve"> Redhorse</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Moxostoma</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macrolepidotum</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0.13</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1014</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1.17</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1.66</w:t>
            </w:r>
          </w:p>
        </w:tc>
      </w:tr>
      <w:tr w:rsidR="00B70D50" w:rsidRPr="00B70D50" w:rsidTr="00AE5F4B">
        <w:trPr>
          <w:trHeight w:val="276"/>
        </w:trPr>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 </w:t>
            </w:r>
          </w:p>
        </w:tc>
        <w:tc>
          <w:tcPr>
            <w:tcW w:w="0" w:type="auto"/>
            <w:tcBorders>
              <w:top w:val="nil"/>
              <w:left w:val="nil"/>
              <w:bottom w:val="single" w:sz="4" w:space="0" w:color="auto"/>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Salmoniformes</w:t>
            </w:r>
            <w:proofErr w:type="spellEnd"/>
          </w:p>
        </w:tc>
        <w:tc>
          <w:tcPr>
            <w:tcW w:w="0" w:type="auto"/>
            <w:tcBorders>
              <w:top w:val="nil"/>
              <w:left w:val="nil"/>
              <w:bottom w:val="single" w:sz="4" w:space="0" w:color="auto"/>
              <w:right w:val="nil"/>
            </w:tcBorders>
            <w:vAlign w:val="center"/>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Salmonidae</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Brook Trout</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Salvelinus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fontinalis</w:t>
            </w:r>
            <w:proofErr w:type="spellEnd"/>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0.11</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382</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3.77</w:t>
            </w:r>
          </w:p>
        </w:tc>
        <w:tc>
          <w:tcPr>
            <w:tcW w:w="1110" w:type="dxa"/>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8.27</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Small</w:t>
            </w: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Yellow Perch</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Perca</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flavescens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0.87</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17</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1.51</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30.40</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Salmoniformes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Salmonidae</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Cisco</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Coregonus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artedi</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0.62</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79</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1.64</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8.51</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Spottail</w:t>
            </w:r>
            <w:proofErr w:type="spellEnd"/>
            <w:r w:rsidRPr="00B70D50">
              <w:rPr>
                <w:color w:val="000000" w:themeColor="text1"/>
                <w:sz w:val="20"/>
                <w:szCs w:val="20"/>
                <w:lang w:val="en-US"/>
              </w:rPr>
              <w:t xml:space="preserve"> Shiner</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Notropis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hudsonius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0.51</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6</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0.14</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8.42</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Percopsiformes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Percopsidae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Trout-perch</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Percopsis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omiscomaycus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0.45</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7</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0.05</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2.33</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Centrarchidae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Rock Bass</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Ambloplites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rupestris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0.44</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40</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0.50</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4.27</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Centrarchidae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Pumpkinseed</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Lepomis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gibbosus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0.29</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29</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0.32</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3.79</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Percidae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Logperch</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Percina</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caprodes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0.26</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5</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0.01</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0.82</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Emerald Shiner</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Notropis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atherinoides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0.24</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6</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0.09</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4.98</w:t>
            </w:r>
          </w:p>
        </w:tc>
      </w:tr>
      <w:tr w:rsidR="00B70D50" w:rsidRPr="00B70D50" w:rsidTr="00AE5F4B">
        <w:trPr>
          <w:trHeight w:val="276"/>
        </w:trPr>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Cypriniformes</w:t>
            </w:r>
            <w:proofErr w:type="spellEnd"/>
          </w:p>
        </w:tc>
        <w:tc>
          <w:tcPr>
            <w:tcW w:w="0" w:type="auto"/>
            <w:tcBorders>
              <w:top w:val="nil"/>
              <w:left w:val="nil"/>
              <w:bottom w:val="nil"/>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Cyprinidae</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Common Shiner</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Luxilus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cornutus</w:t>
            </w:r>
            <w:proofErr w:type="spellEnd"/>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0.22</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13</w:t>
            </w:r>
          </w:p>
        </w:tc>
        <w:tc>
          <w:tcPr>
            <w:tcW w:w="0" w:type="auto"/>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0.63</w:t>
            </w:r>
          </w:p>
        </w:tc>
        <w:tc>
          <w:tcPr>
            <w:tcW w:w="1110" w:type="dxa"/>
            <w:tcBorders>
              <w:top w:val="nil"/>
              <w:left w:val="nil"/>
              <w:bottom w:val="nil"/>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16.17</w:t>
            </w:r>
          </w:p>
        </w:tc>
      </w:tr>
      <w:tr w:rsidR="00B70D50" w:rsidRPr="00B70D50" w:rsidTr="00AE5F4B">
        <w:trPr>
          <w:trHeight w:val="276"/>
        </w:trPr>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 </w:t>
            </w:r>
          </w:p>
        </w:tc>
        <w:tc>
          <w:tcPr>
            <w:tcW w:w="0" w:type="auto"/>
            <w:tcBorders>
              <w:top w:val="nil"/>
              <w:left w:val="nil"/>
              <w:bottom w:val="single" w:sz="4" w:space="0" w:color="auto"/>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Cypriniformes</w:t>
            </w:r>
            <w:proofErr w:type="spellEnd"/>
          </w:p>
        </w:tc>
        <w:tc>
          <w:tcPr>
            <w:tcW w:w="0" w:type="auto"/>
            <w:tcBorders>
              <w:top w:val="nil"/>
              <w:left w:val="nil"/>
              <w:bottom w:val="single" w:sz="4" w:space="0" w:color="auto"/>
              <w:right w:val="nil"/>
            </w:tcBorders>
            <w:vAlign w:val="center"/>
          </w:tcPr>
          <w:p w:rsidR="00B70D50" w:rsidRPr="00B70D50" w:rsidRDefault="00B70D50" w:rsidP="00AE5F4B">
            <w:pPr>
              <w:spacing w:line="360" w:lineRule="auto"/>
              <w:rPr>
                <w:color w:val="000000" w:themeColor="text1"/>
                <w:sz w:val="20"/>
                <w:szCs w:val="20"/>
                <w:lang w:val="en-US"/>
              </w:rPr>
            </w:pPr>
            <w:proofErr w:type="spellStart"/>
            <w:r w:rsidRPr="00B70D50">
              <w:rPr>
                <w:color w:val="000000" w:themeColor="text1"/>
                <w:sz w:val="20"/>
                <w:szCs w:val="20"/>
                <w:lang w:val="en-US"/>
              </w:rPr>
              <w:t>Cyprinidae</w:t>
            </w:r>
            <w:proofErr w:type="spellEnd"/>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Golden Shiner</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i/>
                <w:color w:val="000000" w:themeColor="text1"/>
                <w:sz w:val="20"/>
                <w:szCs w:val="20"/>
                <w:lang w:val="en-US"/>
              </w:rPr>
            </w:pPr>
            <w:proofErr w:type="spellStart"/>
            <w:r w:rsidRPr="00B70D50">
              <w:rPr>
                <w:i/>
                <w:color w:val="000000" w:themeColor="text1"/>
                <w:sz w:val="20"/>
                <w:szCs w:val="20"/>
                <w:lang w:val="en-US"/>
              </w:rPr>
              <w:t>Notemigonus</w:t>
            </w:r>
            <w:proofErr w:type="spellEnd"/>
            <w:r w:rsidRPr="00B70D50">
              <w:rPr>
                <w:i/>
                <w:color w:val="000000" w:themeColor="text1"/>
                <w:sz w:val="20"/>
                <w:szCs w:val="20"/>
                <w:lang w:val="en-US"/>
              </w:rPr>
              <w:t xml:space="preserve"> </w:t>
            </w:r>
            <w:proofErr w:type="spellStart"/>
            <w:r w:rsidRPr="00B70D50">
              <w:rPr>
                <w:i/>
                <w:color w:val="000000" w:themeColor="text1"/>
                <w:sz w:val="20"/>
                <w:szCs w:val="20"/>
                <w:lang w:val="en-US"/>
              </w:rPr>
              <w:t>crysoleucas</w:t>
            </w:r>
            <w:proofErr w:type="spellEnd"/>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0.21</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13</w:t>
            </w:r>
          </w:p>
        </w:tc>
        <w:tc>
          <w:tcPr>
            <w:tcW w:w="0" w:type="auto"/>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0.23</w:t>
            </w:r>
          </w:p>
        </w:tc>
        <w:tc>
          <w:tcPr>
            <w:tcW w:w="1110" w:type="dxa"/>
            <w:tcBorders>
              <w:top w:val="nil"/>
              <w:left w:val="nil"/>
              <w:bottom w:val="single" w:sz="4" w:space="0" w:color="auto"/>
              <w:right w:val="nil"/>
            </w:tcBorders>
            <w:shd w:val="clear" w:color="auto" w:fill="auto"/>
            <w:vAlign w:val="center"/>
            <w:hideMark/>
          </w:tcPr>
          <w:p w:rsidR="00B70D50" w:rsidRPr="00B70D50" w:rsidRDefault="00B70D50" w:rsidP="00AE5F4B">
            <w:pPr>
              <w:spacing w:line="360" w:lineRule="auto"/>
              <w:rPr>
                <w:color w:val="000000" w:themeColor="text1"/>
                <w:sz w:val="20"/>
                <w:szCs w:val="20"/>
                <w:lang w:val="en-US"/>
              </w:rPr>
            </w:pPr>
            <w:r w:rsidRPr="00B70D50">
              <w:rPr>
                <w:color w:val="000000" w:themeColor="text1"/>
                <w:sz w:val="20"/>
                <w:szCs w:val="20"/>
                <w:lang w:val="en-US"/>
              </w:rPr>
              <w:t>6.16</w:t>
            </w:r>
          </w:p>
        </w:tc>
      </w:tr>
    </w:tbl>
    <w:p w:rsidR="00B70D50" w:rsidRPr="00B70D50" w:rsidRDefault="00B70D50" w:rsidP="00D06831">
      <w:pPr>
        <w:spacing w:line="480" w:lineRule="auto"/>
        <w:ind w:left="709" w:hanging="709"/>
        <w:jc w:val="both"/>
        <w:rPr>
          <w:color w:val="000000" w:themeColor="text1"/>
          <w:lang w:val="en-US"/>
        </w:rPr>
      </w:pPr>
    </w:p>
    <w:sectPr w:rsidR="00B70D50" w:rsidRPr="00B70D50" w:rsidSect="005660E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D18" w:rsidRDefault="008B4D18" w:rsidP="00540BFA">
      <w:r>
        <w:separator/>
      </w:r>
    </w:p>
  </w:endnote>
  <w:endnote w:type="continuationSeparator" w:id="0">
    <w:p w:rsidR="008B4D18" w:rsidRDefault="008B4D18" w:rsidP="0054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D18" w:rsidRDefault="008B4D18" w:rsidP="00540BFA">
      <w:r>
        <w:separator/>
      </w:r>
    </w:p>
  </w:footnote>
  <w:footnote w:type="continuationSeparator" w:id="0">
    <w:p w:rsidR="008B4D18" w:rsidRDefault="008B4D18" w:rsidP="00540B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31"/>
    <w:rsid w:val="00004680"/>
    <w:rsid w:val="00171BCA"/>
    <w:rsid w:val="00190D36"/>
    <w:rsid w:val="00333829"/>
    <w:rsid w:val="00540BFA"/>
    <w:rsid w:val="005660E0"/>
    <w:rsid w:val="008B4D18"/>
    <w:rsid w:val="009E1938"/>
    <w:rsid w:val="00B70D50"/>
    <w:rsid w:val="00D068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BF0EB9C"/>
  <w15:chartTrackingRefBased/>
  <w15:docId w15:val="{AEC0C0EB-0BDF-FC40-AF86-8E44BC0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831"/>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BFA"/>
    <w:pPr>
      <w:tabs>
        <w:tab w:val="center" w:pos="4419"/>
        <w:tab w:val="right" w:pos="8838"/>
      </w:tabs>
    </w:pPr>
  </w:style>
  <w:style w:type="character" w:customStyle="1" w:styleId="EncabezadoCar">
    <w:name w:val="Encabezado Car"/>
    <w:basedOn w:val="Fuentedeprrafopredeter"/>
    <w:link w:val="Encabezado"/>
    <w:uiPriority w:val="99"/>
    <w:rsid w:val="00540BFA"/>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540BFA"/>
    <w:pPr>
      <w:tabs>
        <w:tab w:val="center" w:pos="4419"/>
        <w:tab w:val="right" w:pos="8838"/>
      </w:tabs>
    </w:pPr>
  </w:style>
  <w:style w:type="character" w:customStyle="1" w:styleId="PiedepginaCar">
    <w:name w:val="Pie de página Car"/>
    <w:basedOn w:val="Fuentedeprrafopredeter"/>
    <w:link w:val="Piedepgina"/>
    <w:uiPriority w:val="99"/>
    <w:rsid w:val="00540BFA"/>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4</cp:revision>
  <dcterms:created xsi:type="dcterms:W3CDTF">2021-09-07T13:49:00Z</dcterms:created>
  <dcterms:modified xsi:type="dcterms:W3CDTF">2021-09-07T14:12:00Z</dcterms:modified>
</cp:coreProperties>
</file>