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AB" w:rsidRPr="00E84650" w:rsidRDefault="00B524AB" w:rsidP="00B524AB">
      <w:pPr>
        <w:spacing w:line="480" w:lineRule="auto"/>
        <w:ind w:right="-279"/>
        <w:jc w:val="both"/>
        <w:outlineLvl w:val="0"/>
        <w:rPr>
          <w:color w:val="000000" w:themeColor="text1"/>
          <w:sz w:val="21"/>
          <w:lang w:val="en-US"/>
        </w:rPr>
      </w:pPr>
      <w:r w:rsidRPr="00540BFA">
        <w:rPr>
          <w:color w:val="000000" w:themeColor="text1"/>
          <w:sz w:val="21"/>
          <w:lang w:val="en-US"/>
        </w:rPr>
        <w:t>Ignasi Arranz, Bertrand Fournier, Nigel P. Lester, Brian J. Shuter, and Pedro R. Peres-Neto. Species compositions mediate biomass conservation: the case of lake fish communities</w:t>
      </w:r>
      <w:r>
        <w:rPr>
          <w:color w:val="000000" w:themeColor="text1"/>
          <w:sz w:val="21"/>
          <w:lang w:val="en-US"/>
        </w:rPr>
        <w:t>.</w:t>
      </w:r>
      <w:r w:rsidRPr="00540BFA">
        <w:rPr>
          <w:color w:val="000000" w:themeColor="text1"/>
          <w:sz w:val="21"/>
          <w:lang w:val="en-US"/>
        </w:rPr>
        <w:t xml:space="preserve"> Ecology</w:t>
      </w:r>
      <w:r>
        <w:rPr>
          <w:color w:val="000000" w:themeColor="text1"/>
          <w:sz w:val="21"/>
          <w:lang w:val="en-US"/>
        </w:rPr>
        <w:t>.</w:t>
      </w:r>
    </w:p>
    <w:p w:rsidR="00C90668" w:rsidRPr="004001C1" w:rsidRDefault="00C90668" w:rsidP="00C90668">
      <w:pPr>
        <w:spacing w:line="480" w:lineRule="auto"/>
        <w:ind w:right="-279"/>
        <w:jc w:val="both"/>
        <w:rPr>
          <w:rFonts w:eastAsiaTheme="majorEastAsia"/>
          <w:color w:val="2F5496" w:themeColor="accent1" w:themeShade="BF"/>
          <w:sz w:val="28"/>
          <w:szCs w:val="32"/>
          <w:lang w:val="en-US"/>
        </w:rPr>
      </w:pP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Appendix S</w:t>
      </w:r>
      <w:r w:rsidRPr="00C90668">
        <w:rPr>
          <w:rFonts w:eastAsiaTheme="majorEastAsia"/>
          <w:color w:val="2F5496" w:themeColor="accent1" w:themeShade="BF"/>
          <w:sz w:val="28"/>
          <w:szCs w:val="32"/>
          <w:lang w:val="en-US"/>
        </w:rPr>
        <w:t>11</w:t>
      </w: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. Influence of species compositions on biomass conservation</w:t>
      </w:r>
    </w:p>
    <w:p w:rsidR="00C90668" w:rsidRPr="00FA14B1" w:rsidRDefault="00C90668" w:rsidP="00C90668">
      <w:pPr>
        <w:spacing w:line="480" w:lineRule="auto"/>
        <w:jc w:val="both"/>
        <w:rPr>
          <w:color w:val="000000" w:themeColor="text1"/>
          <w:lang w:val="en-US"/>
        </w:rPr>
      </w:pPr>
      <w:r w:rsidRPr="00FA14B1">
        <w:rPr>
          <w:color w:val="000000" w:themeColor="text1"/>
          <w:lang w:val="en-US"/>
        </w:rPr>
        <w:t xml:space="preserve">When we added our measures of species </w:t>
      </w:r>
      <w:r>
        <w:rPr>
          <w:color w:val="000000" w:themeColor="text1"/>
          <w:lang w:val="en-US"/>
        </w:rPr>
        <w:t>composition</w:t>
      </w:r>
      <w:r w:rsidRPr="00FA14B1">
        <w:rPr>
          <w:color w:val="000000" w:themeColor="text1"/>
          <w:lang w:val="en-US"/>
        </w:rPr>
        <w:t>s (species Presence–Absence and Biomass data) to the environmental model, significant amounts of additional variation were accounted for: adjusted R</w:t>
      </w:r>
      <w:r w:rsidRPr="00FA14B1">
        <w:rPr>
          <w:color w:val="000000" w:themeColor="text1"/>
          <w:vertAlign w:val="superscript"/>
          <w:lang w:val="en-US"/>
        </w:rPr>
        <w:t>2</w:t>
      </w:r>
      <w:r w:rsidRPr="00FA14B1">
        <w:rPr>
          <w:color w:val="000000" w:themeColor="text1"/>
          <w:lang w:val="en-US"/>
        </w:rPr>
        <w:t xml:space="preserve"> values increased from 0.273 (Env alone) to 0.472 (Env + PA) to 0.769 (Env + biomass) to 0.811 (Env + PA + Biomass) (from Tables S1 to S3). An AIC comparison of models identified the (Env + PA + Biomass) model as providing the best representation of our data set (see Table S4).</w:t>
      </w:r>
    </w:p>
    <w:p w:rsidR="00C90668" w:rsidRPr="00FA14B1" w:rsidRDefault="00C90668" w:rsidP="00C90668">
      <w:pPr>
        <w:spacing w:line="480" w:lineRule="auto"/>
        <w:ind w:firstLine="720"/>
        <w:jc w:val="both"/>
        <w:rPr>
          <w:color w:val="000000" w:themeColor="text1"/>
          <w:lang w:val="en-US"/>
        </w:rPr>
      </w:pPr>
      <w:r w:rsidRPr="00FA14B1">
        <w:rPr>
          <w:color w:val="000000" w:themeColor="text1"/>
          <w:lang w:val="en-US"/>
        </w:rPr>
        <w:t xml:space="preserve">In all models including species </w:t>
      </w:r>
      <w:r>
        <w:rPr>
          <w:color w:val="000000" w:themeColor="text1"/>
          <w:lang w:val="en-US"/>
        </w:rPr>
        <w:t>composition</w:t>
      </w:r>
      <w:r w:rsidRPr="00FA14B1">
        <w:rPr>
          <w:color w:val="000000" w:themeColor="text1"/>
          <w:lang w:val="en-US"/>
        </w:rPr>
        <w:t xml:space="preserve">s, environmental factors played a very small role in accounting for observed variation in BIOCON values. From these results, we concluded that data on species </w:t>
      </w:r>
      <w:r>
        <w:rPr>
          <w:color w:val="000000" w:themeColor="text1"/>
          <w:lang w:val="en-US"/>
        </w:rPr>
        <w:t>composition</w:t>
      </w:r>
      <w:r w:rsidRPr="00FA14B1">
        <w:rPr>
          <w:color w:val="000000" w:themeColor="text1"/>
          <w:lang w:val="en-US"/>
        </w:rPr>
        <w:t>s is far more useful in accounting for variation in BIOCON than environmental data alone (Table S5 and Fig. 2 in main text). Variance partitioning from separate analyses of shallow and deep (&gt; 20 m) lakes produced results that were essentially the same as for all lakes, indicating that the lack of small mesh sampling in deep strata (i.e.,&gt; 20 m) did not bias the results (see variance partitioning Table S5).</w:t>
      </w:r>
    </w:p>
    <w:p w:rsidR="00C90668" w:rsidRPr="00FA14B1" w:rsidRDefault="00C90668" w:rsidP="00C90668">
      <w:pPr>
        <w:rPr>
          <w:color w:val="000000" w:themeColor="text1"/>
          <w:lang w:val="en-US"/>
        </w:rPr>
      </w:pPr>
      <w:r w:rsidRPr="00FA14B1">
        <w:rPr>
          <w:color w:val="000000" w:themeColor="text1"/>
          <w:lang w:val="en-US"/>
        </w:rPr>
        <w:br w:type="page"/>
      </w:r>
    </w:p>
    <w:p w:rsidR="00C90668" w:rsidRPr="00FA14B1" w:rsidRDefault="00C90668" w:rsidP="00C90668">
      <w:pPr>
        <w:pStyle w:val="Ttulo2"/>
        <w:spacing w:line="480" w:lineRule="auto"/>
        <w:jc w:val="both"/>
        <w:rPr>
          <w:color w:val="000000" w:themeColor="text1"/>
        </w:rPr>
      </w:pPr>
      <w:r w:rsidRPr="00FA14B1">
        <w:rPr>
          <w:color w:val="000000" w:themeColor="text1"/>
          <w:sz w:val="24"/>
          <w:szCs w:val="24"/>
        </w:rPr>
        <w:lastRenderedPageBreak/>
        <w:t xml:space="preserve">Table S1. </w:t>
      </w:r>
      <w:r w:rsidRPr="00FA14B1">
        <w:rPr>
          <w:b w:val="0"/>
          <w:bCs w:val="0"/>
          <w:color w:val="000000" w:themeColor="text1"/>
          <w:sz w:val="24"/>
          <w:szCs w:val="24"/>
        </w:rPr>
        <w:t>Regression model for the Environment + Species PA .</w:t>
      </w:r>
    </w:p>
    <w:tbl>
      <w:tblPr>
        <w:tblW w:w="10069" w:type="dxa"/>
        <w:tblInd w:w="-709" w:type="dxa"/>
        <w:tblLook w:val="04A0" w:firstRow="1" w:lastRow="0" w:firstColumn="1" w:lastColumn="0" w:noHBand="0" w:noVBand="1"/>
      </w:tblPr>
      <w:tblGrid>
        <w:gridCol w:w="2410"/>
        <w:gridCol w:w="2052"/>
        <w:gridCol w:w="758"/>
        <w:gridCol w:w="1005"/>
        <w:gridCol w:w="1044"/>
        <w:gridCol w:w="883"/>
        <w:gridCol w:w="845"/>
        <w:gridCol w:w="1072"/>
      </w:tblGrid>
      <w:tr w:rsidR="00C90668" w:rsidRPr="00B524AB" w:rsidTr="00AE5F4B">
        <w:trPr>
          <w:trHeight w:val="671"/>
        </w:trPr>
        <w:tc>
          <w:tcPr>
            <w:tcW w:w="52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fr-FR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fr-FR"/>
              </w:rPr>
              <w:t>Regression (NB_Slope vs Env + PA)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fr-FR"/>
              </w:rPr>
            </w:pP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Label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Std. Value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SE(Std. Value)</w:t>
            </w:r>
          </w:p>
        </w:tc>
        <w:tc>
          <w:tcPr>
            <w:tcW w:w="1044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SE(b)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t(632)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-value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N = 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0.493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Adjusted 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0.472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Residual standard error =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0.202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-0.894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-9.953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air temperature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E1_MAT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-3.266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Surface area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E2_L10Area_ha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0.850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depth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E2_L10Depmn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4.199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Dissolved organic carbon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E3_DOC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1.364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0.173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Conductivity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E3_L10Conductivity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-3.584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-7.015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-1.985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-0.199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0.843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-0.366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-6.641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3.078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0.002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0.234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3.556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0.238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3.525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-0.171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-2.429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-0.174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-2.372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0.018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0.310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3.460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CPA22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0.298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2.993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CPA39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2.197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CPA43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0.266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1.516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-0.382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0.245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-1.558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0.120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0.654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1.902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0.058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1.312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0.758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1.730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0.084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1.043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0.789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1.321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0.187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-2.883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1.041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-2.769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0.006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1.884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1.441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1.307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0.192</w:t>
            </w:r>
          </w:p>
        </w:tc>
      </w:tr>
      <w:tr w:rsidR="00C90668" w:rsidRPr="00FA14B1" w:rsidTr="00AE5F4B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-0.058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-3.925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1.935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-2.029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0.043</w:t>
            </w:r>
          </w:p>
        </w:tc>
      </w:tr>
    </w:tbl>
    <w:p w:rsidR="00C90668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B524AB" w:rsidRDefault="00B524AB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C90668" w:rsidRPr="00FA14B1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  <w:r w:rsidRPr="00FA14B1">
        <w:rPr>
          <w:color w:val="000000" w:themeColor="text1"/>
          <w:sz w:val="24"/>
          <w:szCs w:val="24"/>
        </w:rPr>
        <w:lastRenderedPageBreak/>
        <w:t xml:space="preserve">Table S2 </w:t>
      </w:r>
      <w:r w:rsidRPr="00FA14B1">
        <w:rPr>
          <w:b w:val="0"/>
          <w:bCs w:val="0"/>
          <w:color w:val="000000" w:themeColor="text1"/>
          <w:sz w:val="24"/>
          <w:szCs w:val="24"/>
        </w:rPr>
        <w:t>Regression model for the Environment + Species Biomass.</w:t>
      </w:r>
      <w:r w:rsidRPr="00FA14B1">
        <w:rPr>
          <w:color w:val="000000" w:themeColor="text1"/>
          <w:sz w:val="24"/>
          <w:szCs w:val="24"/>
        </w:rPr>
        <w:t xml:space="preserve"> </w:t>
      </w:r>
    </w:p>
    <w:tbl>
      <w:tblPr>
        <w:tblW w:w="10379" w:type="dxa"/>
        <w:tblInd w:w="-851" w:type="dxa"/>
        <w:tblLook w:val="04A0" w:firstRow="1" w:lastRow="0" w:firstColumn="1" w:lastColumn="0" w:noHBand="0" w:noVBand="1"/>
      </w:tblPr>
      <w:tblGrid>
        <w:gridCol w:w="2268"/>
        <w:gridCol w:w="1905"/>
        <w:gridCol w:w="880"/>
        <w:gridCol w:w="1160"/>
        <w:gridCol w:w="1240"/>
        <w:gridCol w:w="1006"/>
        <w:gridCol w:w="920"/>
        <w:gridCol w:w="1000"/>
      </w:tblGrid>
      <w:tr w:rsidR="00C90668" w:rsidRPr="00FA14B1" w:rsidTr="00C90668">
        <w:trPr>
          <w:trHeight w:val="264"/>
        </w:trPr>
        <w:tc>
          <w:tcPr>
            <w:tcW w:w="505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Regression (BIOCON vs Env+Biomass)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Label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Std. Value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SE(Std. Value)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SE(b)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t(632)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-value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N 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0.791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Adjusted 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0.769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Residual standard error =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-1.123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-17.662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air temperature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E1_MAT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0.711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Surface area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E2_L10Area_ha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0.223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depth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E2_L10Depmn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Dissolved organic carbon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E3_DOC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Conductivity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E3_L10Conductivity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0.894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-14.452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12.757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7.955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0.319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9.097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14.101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2.853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-5.258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-5.266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-0.376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-8.258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-2.003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0.046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-0.126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-2.241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5.701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0.212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3.562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0.549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1.851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0.065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-3.679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-5.021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0.374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-2.045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0.259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2.391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0.017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-0.874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0.382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0.496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4.182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0.002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0.191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0.148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0.125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0.323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0.033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0.246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1.582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0.484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1.818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-0.368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-1.659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-2.676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0.437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-0.744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0.457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0.282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0.388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0.305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0.318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-1.317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-2.614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0.752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1.410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-0.556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-0.937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-0.578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-0.911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0.363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-0.469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-1.845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0.066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0.605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0.539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-1.409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-1.329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-1.575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-1.284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0.200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1.438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0.459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3.296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2.421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0.174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-2.476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2.914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-0.850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0.396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9.403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4.803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0.051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12.668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6.493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</w:tr>
      <w:tr w:rsidR="00C90668" w:rsidRPr="00FA14B1" w:rsidTr="00C90668">
        <w:trPr>
          <w:trHeight w:val="264"/>
        </w:trPr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7.978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10.228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0.436</w:t>
            </w:r>
          </w:p>
        </w:tc>
      </w:tr>
    </w:tbl>
    <w:p w:rsidR="00C90668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C90668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B524AB" w:rsidRDefault="00B524AB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B524AB" w:rsidRDefault="00B524AB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</w:p>
    <w:p w:rsidR="00C90668" w:rsidRPr="00FA14B1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  <w:r w:rsidRPr="00FA14B1">
        <w:rPr>
          <w:color w:val="000000" w:themeColor="text1"/>
          <w:sz w:val="24"/>
          <w:szCs w:val="24"/>
        </w:rPr>
        <w:lastRenderedPageBreak/>
        <w:t xml:space="preserve">Table S3. </w:t>
      </w:r>
      <w:r w:rsidRPr="00FA14B1">
        <w:rPr>
          <w:b w:val="0"/>
          <w:bCs w:val="0"/>
          <w:color w:val="000000" w:themeColor="text1"/>
          <w:sz w:val="24"/>
          <w:szCs w:val="24"/>
        </w:rPr>
        <w:t>Regression model for the Environment + Species PA + Species Biomass.</w:t>
      </w:r>
    </w:p>
    <w:tbl>
      <w:tblPr>
        <w:tblW w:w="10497" w:type="dxa"/>
        <w:tblInd w:w="-993" w:type="dxa"/>
        <w:tblLook w:val="04A0" w:firstRow="1" w:lastRow="0" w:firstColumn="1" w:lastColumn="0" w:noHBand="0" w:noVBand="1"/>
      </w:tblPr>
      <w:tblGrid>
        <w:gridCol w:w="2411"/>
        <w:gridCol w:w="1905"/>
        <w:gridCol w:w="880"/>
        <w:gridCol w:w="1159"/>
        <w:gridCol w:w="1219"/>
        <w:gridCol w:w="1006"/>
        <w:gridCol w:w="919"/>
        <w:gridCol w:w="998"/>
      </w:tblGrid>
      <w:tr w:rsidR="00C90668" w:rsidRPr="00FA14B1" w:rsidTr="00C90668">
        <w:trPr>
          <w:trHeight w:val="264"/>
        </w:trPr>
        <w:tc>
          <w:tcPr>
            <w:tcW w:w="6355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Regression (NB_Slope vs Env+PA+Biomass)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91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N 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0.807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Adjusted R</w:t>
            </w:r>
            <w:r w:rsidRPr="00FA14B1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0.779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Residual standard error =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0.131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Label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Std. Value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SE(Std. Value)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SE(b)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t(632)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p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-value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-1.143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-17.549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air temperature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E1_MAT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0.969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Surface area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E2_L10Area_ha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1.222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Mean depth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E2_L10Depmn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2.144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Dissolved organic carbon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E3_DOC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1.793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Conductivity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E3_L10Conductivity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0.872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-0.386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-0.332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-4.956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0.589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0.562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10.380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0.215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0.267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3.561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-1.858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0.064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0.241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0.438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8.406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0.282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0.539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9.106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3.626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-0.093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-3.816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-3.956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-0.194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-0.456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-6.381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-0.120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-2.134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-4.210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0.479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5.908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0.199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2.570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5.180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-0.096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0.924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0.057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-0.326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-3.397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-0.498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-5.241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0.599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0.199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1.984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-0.696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0.487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1.625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CBio29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-0.856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0.392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4.817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-3.425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0.375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0.142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2.636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0.143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0.877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0.155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0.295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0.730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1.196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0.232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0.991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0.208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1.952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-2.184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-0.048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-0.580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0.247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-2.350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0.262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0.271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0.968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0.333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CBio48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-0.057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0.353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0.871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0.611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0.283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0.456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0.536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-0.410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-0.813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0.417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-0.061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-1.594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0.534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-2.987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0.778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0.895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-0.442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0.659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-0.670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-0.515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0.716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-0.719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0.472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-0.083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0.887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-0.094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0.925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-1.285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0.823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-1.562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1.087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0.869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-0.984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1.091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-0.902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0.368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-0.021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-1.340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2.015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-0.665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0.506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2.533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2.103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3.689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0.335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0.738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-0.022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-3.291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3.184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-1.033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0.302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22.995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18.867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1.219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0.223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5.742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13.714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0.676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CBio82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0.027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8.173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14.477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0.565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0.573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-0.131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-0.155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-0.167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-2.249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-0.014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0.761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0.095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0.165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2.531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0.012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-0.077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-0.159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-2.436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0.015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-0.068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-0.146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-2.342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-0.085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-0.197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-2.645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2.185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0.483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0.629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-0.039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-1.566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-0.050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-0.171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0.082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-2.085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0.120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0.138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0.867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0.386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0.041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0.250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0.184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0.176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0.031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0.262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0.914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CPA59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0.113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0.330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0.344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0.731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0.011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0.028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0.299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0.746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0.689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0.593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0.723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0.820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0.413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0.060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2.173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2.743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0.428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1.145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2.575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0.445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0.657</w:t>
            </w:r>
          </w:p>
        </w:tc>
      </w:tr>
      <w:tr w:rsidR="00C90668" w:rsidRPr="00FA14B1" w:rsidTr="00C90668">
        <w:trPr>
          <w:trHeight w:val="264"/>
        </w:trPr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CPA83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-0.006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-0.378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1.322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-0.286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C90668" w:rsidRPr="00FA14B1" w:rsidRDefault="00C90668" w:rsidP="00AE5F4B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</w:rPr>
              <w:t>0.775</w:t>
            </w:r>
          </w:p>
        </w:tc>
      </w:tr>
    </w:tbl>
    <w:p w:rsidR="00C90668" w:rsidRPr="00FA14B1" w:rsidRDefault="00C90668" w:rsidP="00C90668">
      <w:pPr>
        <w:spacing w:after="200" w:line="480" w:lineRule="auto"/>
        <w:jc w:val="both"/>
        <w:rPr>
          <w:b/>
          <w:color w:val="000000" w:themeColor="text1"/>
          <w:lang w:val="en-US"/>
        </w:rPr>
      </w:pPr>
      <w:r w:rsidRPr="00FA14B1">
        <w:rPr>
          <w:b/>
          <w:color w:val="000000" w:themeColor="text1"/>
          <w:lang w:val="en-US"/>
        </w:rPr>
        <w:br w:type="page"/>
      </w:r>
      <w:bookmarkStart w:id="0" w:name="_GoBack"/>
      <w:bookmarkEnd w:id="0"/>
    </w:p>
    <w:p w:rsidR="00C90668" w:rsidRPr="00FA14B1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  <w:r w:rsidRPr="00FA14B1">
        <w:rPr>
          <w:color w:val="000000" w:themeColor="text1"/>
          <w:sz w:val="24"/>
          <w:szCs w:val="24"/>
        </w:rPr>
        <w:lastRenderedPageBreak/>
        <w:t xml:space="preserve">Table S4. </w:t>
      </w:r>
      <w:r w:rsidRPr="00FA14B1">
        <w:rPr>
          <w:b w:val="0"/>
          <w:bCs w:val="0"/>
          <w:color w:val="000000" w:themeColor="text1"/>
          <w:sz w:val="24"/>
          <w:szCs w:val="24"/>
        </w:rPr>
        <w:t>Calculation of AIC for different models. The [Env+PA+Bio] is identified as the ‘best’ model.</w:t>
      </w:r>
    </w:p>
    <w:tbl>
      <w:tblPr>
        <w:tblW w:w="3740" w:type="dxa"/>
        <w:tblInd w:w="2268" w:type="dxa"/>
        <w:tblLook w:val="04A0" w:firstRow="1" w:lastRow="0" w:firstColumn="1" w:lastColumn="0" w:noHBand="0" w:noVBand="1"/>
      </w:tblPr>
      <w:tblGrid>
        <w:gridCol w:w="1520"/>
        <w:gridCol w:w="1160"/>
        <w:gridCol w:w="1060"/>
      </w:tblGrid>
      <w:tr w:rsidR="00C90668" w:rsidRPr="00FA14B1" w:rsidTr="00C90668">
        <w:trPr>
          <w:trHeight w:val="521"/>
        </w:trPr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Nlakes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delta AIC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c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Env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691.99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Env+PA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506.70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Env+Bio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12.20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Env+PA+Bio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0.00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PA+Bio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0.90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Bio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9.90</w:t>
            </w:r>
          </w:p>
        </w:tc>
      </w:tr>
      <w:tr w:rsidR="00C90668" w:rsidRPr="00FA14B1" w:rsidTr="00C90668">
        <w:trPr>
          <w:trHeight w:val="264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PA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639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535.70</w:t>
            </w:r>
          </w:p>
        </w:tc>
      </w:tr>
    </w:tbl>
    <w:p w:rsidR="00C90668" w:rsidRPr="00FA14B1" w:rsidRDefault="00C90668" w:rsidP="00C90668">
      <w:pPr>
        <w:rPr>
          <w:rFonts w:eastAsiaTheme="minorHAnsi"/>
          <w:b/>
          <w:bCs/>
          <w:color w:val="000000" w:themeColor="text1"/>
          <w:lang w:val="en-US"/>
        </w:rPr>
      </w:pPr>
      <w:r w:rsidRPr="00FA14B1">
        <w:rPr>
          <w:color w:val="000000" w:themeColor="text1"/>
          <w:lang w:val="en-US"/>
        </w:rPr>
        <w:br w:type="page"/>
      </w:r>
    </w:p>
    <w:p w:rsidR="00C90668" w:rsidRPr="00FA14B1" w:rsidRDefault="00C90668" w:rsidP="00C90668">
      <w:pPr>
        <w:pStyle w:val="Ttulo2"/>
        <w:spacing w:line="480" w:lineRule="auto"/>
        <w:jc w:val="both"/>
        <w:rPr>
          <w:color w:val="000000" w:themeColor="text1"/>
          <w:sz w:val="24"/>
          <w:szCs w:val="24"/>
        </w:rPr>
      </w:pPr>
      <w:r w:rsidRPr="00FA14B1">
        <w:rPr>
          <w:color w:val="000000" w:themeColor="text1"/>
          <w:sz w:val="24"/>
          <w:szCs w:val="24"/>
        </w:rPr>
        <w:lastRenderedPageBreak/>
        <w:t xml:space="preserve">Table S5. </w:t>
      </w:r>
      <w:r w:rsidRPr="00FA14B1">
        <w:rPr>
          <w:b w:val="0"/>
          <w:bCs w:val="0"/>
          <w:color w:val="000000" w:themeColor="text1"/>
          <w:sz w:val="24"/>
          <w:szCs w:val="24"/>
        </w:rPr>
        <w:t xml:space="preserve">Variance partitioning among the </w:t>
      </w:r>
      <w:r>
        <w:rPr>
          <w:b w:val="0"/>
          <w:bCs w:val="0"/>
          <w:color w:val="000000" w:themeColor="text1"/>
          <w:sz w:val="24"/>
          <w:szCs w:val="24"/>
        </w:rPr>
        <w:t>e</w:t>
      </w:r>
      <w:r w:rsidRPr="00FA14B1">
        <w:rPr>
          <w:b w:val="0"/>
          <w:bCs w:val="0"/>
          <w:color w:val="000000" w:themeColor="text1"/>
          <w:sz w:val="24"/>
          <w:szCs w:val="24"/>
        </w:rPr>
        <w:t xml:space="preserve">nvironment and </w:t>
      </w:r>
      <w:r>
        <w:rPr>
          <w:b w:val="0"/>
          <w:bCs w:val="0"/>
          <w:color w:val="000000" w:themeColor="text1"/>
          <w:sz w:val="24"/>
          <w:szCs w:val="24"/>
        </w:rPr>
        <w:t>s</w:t>
      </w:r>
      <w:r w:rsidRPr="00FA14B1">
        <w:rPr>
          <w:b w:val="0"/>
          <w:bCs w:val="0"/>
          <w:color w:val="000000" w:themeColor="text1"/>
          <w:sz w:val="24"/>
          <w:szCs w:val="24"/>
        </w:rPr>
        <w:t xml:space="preserve">pecies </w:t>
      </w:r>
      <w:r>
        <w:rPr>
          <w:b w:val="0"/>
          <w:bCs w:val="0"/>
          <w:color w:val="000000" w:themeColor="text1"/>
          <w:sz w:val="24"/>
          <w:szCs w:val="24"/>
        </w:rPr>
        <w:t>composition</w:t>
      </w:r>
      <w:r w:rsidRPr="00FA14B1">
        <w:rPr>
          <w:b w:val="0"/>
          <w:bCs w:val="0"/>
          <w:color w:val="000000" w:themeColor="text1"/>
          <w:sz w:val="24"/>
          <w:szCs w:val="24"/>
        </w:rPr>
        <w:t>s in various models for shallow and deep lakes. Columns show the total adjusted R</w:t>
      </w:r>
      <w:r w:rsidRPr="00FA14B1">
        <w:rPr>
          <w:b w:val="0"/>
          <w:bCs w:val="0"/>
          <w:color w:val="000000" w:themeColor="text1"/>
          <w:sz w:val="24"/>
          <w:szCs w:val="24"/>
          <w:vertAlign w:val="superscript"/>
        </w:rPr>
        <w:t>2</w:t>
      </w:r>
      <w:r w:rsidRPr="00FA14B1">
        <w:rPr>
          <w:b w:val="0"/>
          <w:bCs w:val="0"/>
          <w:color w:val="000000" w:themeColor="text1"/>
          <w:sz w:val="24"/>
          <w:szCs w:val="24"/>
        </w:rPr>
        <w:t xml:space="preserve"> (aR</w:t>
      </w:r>
      <w:r w:rsidRPr="00FA14B1">
        <w:rPr>
          <w:b w:val="0"/>
          <w:bCs w:val="0"/>
          <w:color w:val="000000" w:themeColor="text1"/>
          <w:sz w:val="24"/>
          <w:szCs w:val="24"/>
          <w:vertAlign w:val="superscript"/>
        </w:rPr>
        <w:t>2</w:t>
      </w:r>
      <w:r w:rsidRPr="00FA14B1">
        <w:rPr>
          <w:b w:val="0"/>
          <w:bCs w:val="0"/>
          <w:color w:val="000000" w:themeColor="text1"/>
          <w:sz w:val="24"/>
          <w:szCs w:val="24"/>
        </w:rPr>
        <w:t xml:space="preserve">), the independent contributions from the environment and species </w:t>
      </w:r>
      <w:r>
        <w:rPr>
          <w:b w:val="0"/>
          <w:bCs w:val="0"/>
          <w:color w:val="000000" w:themeColor="text1"/>
          <w:sz w:val="24"/>
          <w:szCs w:val="24"/>
        </w:rPr>
        <w:t>composition</w:t>
      </w:r>
      <w:r w:rsidRPr="00FA14B1">
        <w:rPr>
          <w:b w:val="0"/>
          <w:bCs w:val="0"/>
          <w:color w:val="000000" w:themeColor="text1"/>
          <w:sz w:val="24"/>
          <w:szCs w:val="24"/>
        </w:rPr>
        <w:t>s, and their shared contribution.  Results are shown separately to shallow lakes (&lt;= 20 m) and deep lakes (&gt; 20 m).</w:t>
      </w:r>
    </w:p>
    <w:tbl>
      <w:tblPr>
        <w:tblW w:w="6555" w:type="dxa"/>
        <w:tblInd w:w="993" w:type="dxa"/>
        <w:tblLook w:val="04A0" w:firstRow="1" w:lastRow="0" w:firstColumn="1" w:lastColumn="0" w:noHBand="0" w:noVBand="1"/>
      </w:tblPr>
      <w:tblGrid>
        <w:gridCol w:w="1399"/>
        <w:gridCol w:w="1436"/>
        <w:gridCol w:w="1405"/>
        <w:gridCol w:w="1405"/>
        <w:gridCol w:w="910"/>
      </w:tblGrid>
      <w:tr w:rsidR="00C90668" w:rsidRPr="00FA14B1" w:rsidTr="00C90668">
        <w:trPr>
          <w:trHeight w:val="804"/>
        </w:trPr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Set of Lakes</w:t>
            </w:r>
          </w:p>
        </w:tc>
        <w:tc>
          <w:tcPr>
            <w:tcW w:w="1436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ind w:firstLineChars="100" w:firstLine="201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aR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2 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Env Independent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aR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Species Independent</w:t>
            </w:r>
          </w:p>
        </w:tc>
        <w:tc>
          <w:tcPr>
            <w:tcW w:w="91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aR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Shared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Shallow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Env+PA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0.0402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0.1305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0.2687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(&lt;= 20 m)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Env+Bio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0.0060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0.4333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0.3028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N = 281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Env+PA+ Bio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0.0002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0.4666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0.3087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Deep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Env+PA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0.0633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0.2555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0.1755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(&gt; 20 m)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Env+Bio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0.5427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0.2420</w:t>
            </w:r>
          </w:p>
        </w:tc>
      </w:tr>
      <w:tr w:rsidR="00C90668" w:rsidRPr="00FA14B1" w:rsidTr="00C90668">
        <w:trPr>
          <w:trHeight w:val="288"/>
        </w:trPr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N = 358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bCs/>
                <w:color w:val="000000" w:themeColor="text1"/>
                <w:sz w:val="20"/>
                <w:szCs w:val="20"/>
                <w:lang w:val="en-US"/>
              </w:rPr>
              <w:t>Env+PA+Bio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0.0000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0.5568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668" w:rsidRPr="00FA14B1" w:rsidRDefault="00C90668" w:rsidP="00AE5F4B">
            <w:pPr>
              <w:spacing w:line="48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FA14B1">
              <w:rPr>
                <w:color w:val="000000" w:themeColor="text1"/>
                <w:sz w:val="20"/>
                <w:szCs w:val="20"/>
                <w:lang w:val="en-US"/>
              </w:rPr>
              <w:t>0.2471</w:t>
            </w:r>
          </w:p>
        </w:tc>
      </w:tr>
    </w:tbl>
    <w:p w:rsidR="00333829" w:rsidRDefault="00333829"/>
    <w:sectPr w:rsidR="00333829" w:rsidSect="005660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72F0"/>
    <w:multiLevelType w:val="hybridMultilevel"/>
    <w:tmpl w:val="406AB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30C5"/>
    <w:multiLevelType w:val="hybridMultilevel"/>
    <w:tmpl w:val="9A567622"/>
    <w:lvl w:ilvl="0" w:tplc="6FEAF7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04CC"/>
    <w:multiLevelType w:val="hybridMultilevel"/>
    <w:tmpl w:val="9A567622"/>
    <w:lvl w:ilvl="0" w:tplc="6FEAF7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876C7"/>
    <w:multiLevelType w:val="hybridMultilevel"/>
    <w:tmpl w:val="9D2E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6455"/>
    <w:multiLevelType w:val="hybridMultilevel"/>
    <w:tmpl w:val="98CC3310"/>
    <w:lvl w:ilvl="0" w:tplc="48F40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EA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C3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EE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A3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2F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6F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962CED"/>
    <w:multiLevelType w:val="hybridMultilevel"/>
    <w:tmpl w:val="C2747366"/>
    <w:lvl w:ilvl="0" w:tplc="04A0A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D74541"/>
    <w:multiLevelType w:val="hybridMultilevel"/>
    <w:tmpl w:val="80825E04"/>
    <w:lvl w:ilvl="0" w:tplc="F108892A">
      <w:start w:val="1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8413E"/>
    <w:multiLevelType w:val="multilevel"/>
    <w:tmpl w:val="5452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A52265E"/>
    <w:multiLevelType w:val="hybridMultilevel"/>
    <w:tmpl w:val="9A567622"/>
    <w:lvl w:ilvl="0" w:tplc="6FEAF7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16332"/>
    <w:multiLevelType w:val="hybridMultilevel"/>
    <w:tmpl w:val="9D2E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A1FD1"/>
    <w:multiLevelType w:val="hybridMultilevel"/>
    <w:tmpl w:val="0ECAA30A"/>
    <w:lvl w:ilvl="0" w:tplc="23745E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A300D"/>
    <w:multiLevelType w:val="hybridMultilevel"/>
    <w:tmpl w:val="9D2E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690D"/>
    <w:multiLevelType w:val="hybridMultilevel"/>
    <w:tmpl w:val="B54A5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5B5A"/>
    <w:multiLevelType w:val="hybridMultilevel"/>
    <w:tmpl w:val="F08CCCA6"/>
    <w:lvl w:ilvl="0" w:tplc="DFBE2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5F60284"/>
    <w:multiLevelType w:val="hybridMultilevel"/>
    <w:tmpl w:val="6C489070"/>
    <w:lvl w:ilvl="0" w:tplc="50DC8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474BE1"/>
    <w:multiLevelType w:val="hybridMultilevel"/>
    <w:tmpl w:val="9D2E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44063"/>
    <w:multiLevelType w:val="hybridMultilevel"/>
    <w:tmpl w:val="AA32CCA8"/>
    <w:lvl w:ilvl="0" w:tplc="C43A5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03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A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C2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CD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8D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86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81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A8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3C6075"/>
    <w:multiLevelType w:val="hybridMultilevel"/>
    <w:tmpl w:val="9A567622"/>
    <w:lvl w:ilvl="0" w:tplc="6FEAF7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C7CA7"/>
    <w:multiLevelType w:val="hybridMultilevel"/>
    <w:tmpl w:val="C14ADF2E"/>
    <w:lvl w:ilvl="0" w:tplc="7F9AC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75428"/>
    <w:multiLevelType w:val="hybridMultilevel"/>
    <w:tmpl w:val="0ECAA30A"/>
    <w:lvl w:ilvl="0" w:tplc="23745E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0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17"/>
  </w:num>
  <w:num w:numId="14">
    <w:abstractNumId w:val="6"/>
  </w:num>
  <w:num w:numId="15">
    <w:abstractNumId w:val="14"/>
  </w:num>
  <w:num w:numId="16">
    <w:abstractNumId w:val="5"/>
  </w:num>
  <w:num w:numId="17">
    <w:abstractNumId w:val="13"/>
  </w:num>
  <w:num w:numId="18">
    <w:abstractNumId w:val="11"/>
  </w:num>
  <w:num w:numId="19">
    <w:abstractNumId w:val="3"/>
  </w:num>
  <w:num w:numId="20">
    <w:abstractNumId w:val="10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8"/>
    <w:rsid w:val="00171BCA"/>
    <w:rsid w:val="00333829"/>
    <w:rsid w:val="005660E0"/>
    <w:rsid w:val="00B524AB"/>
    <w:rsid w:val="00C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377BC"/>
  <w15:chartTrackingRefBased/>
  <w15:docId w15:val="{1305E432-4F1F-9B40-A5D3-2818A662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668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90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90668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0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06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906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C9066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668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66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66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6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90668"/>
    <w:rPr>
      <w:rFonts w:ascii="Times New Roman" w:hAnsi="Times New Roman" w:cs="Times New Roman"/>
      <w:b/>
      <w:bCs/>
      <w:sz w:val="36"/>
      <w:szCs w:val="36"/>
      <w:lang w:val="en-US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90668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C90668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90668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668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668"/>
    <w:rPr>
      <w:rFonts w:asciiTheme="majorHAnsi" w:eastAsiaTheme="majorEastAsia" w:hAnsiTheme="majorHAnsi" w:cstheme="majorBidi"/>
      <w:i/>
      <w:iCs/>
      <w:sz w:val="22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668"/>
    <w:rPr>
      <w:rFonts w:asciiTheme="majorHAnsi" w:eastAsiaTheme="majorEastAsia" w:hAnsiTheme="majorHAnsi" w:cstheme="majorBidi"/>
      <w:sz w:val="20"/>
      <w:szCs w:val="20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668"/>
    <w:rPr>
      <w:rFonts w:asciiTheme="majorHAnsi" w:eastAsiaTheme="majorEastAsia" w:hAnsiTheme="majorHAnsi" w:cstheme="majorBidi"/>
      <w:i/>
      <w:iCs/>
      <w:spacing w:val="5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C90668"/>
    <w:pPr>
      <w:ind w:left="720"/>
      <w:contextualSpacing/>
    </w:pPr>
    <w:rPr>
      <w:rFonts w:eastAsiaTheme="minorHAnsi"/>
      <w:lang w:val="en-US"/>
    </w:rPr>
  </w:style>
  <w:style w:type="table" w:styleId="Tablaconcuadrcula">
    <w:name w:val="Table Grid"/>
    <w:basedOn w:val="Tablanormal"/>
    <w:uiPriority w:val="59"/>
    <w:rsid w:val="00C906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9066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C90668"/>
    <w:rPr>
      <w:rFonts w:eastAsiaTheme="minorHAnsi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90668"/>
    <w:rPr>
      <w:rFonts w:ascii="Times New Roman" w:hAnsi="Times New Roman" w:cs="Times New Roman"/>
      <w:lang w:val="en-US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066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0668"/>
    <w:rPr>
      <w:rFonts w:ascii="Times New Roman" w:hAnsi="Times New Roman" w:cs="Times New Roman"/>
      <w:b/>
      <w:bCs/>
      <w:sz w:val="20"/>
      <w:szCs w:val="20"/>
      <w:lang w:val="en-US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668"/>
    <w:rPr>
      <w:rFonts w:eastAsiaTheme="minorHAnsi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668"/>
    <w:rPr>
      <w:rFonts w:ascii="Times New Roman" w:hAnsi="Times New Roman" w:cs="Times New Roman"/>
      <w:sz w:val="18"/>
      <w:szCs w:val="18"/>
      <w:lang w:val="en-US" w:eastAsia="es-ES_tradnl"/>
    </w:rPr>
  </w:style>
  <w:style w:type="paragraph" w:customStyle="1" w:styleId="p1">
    <w:name w:val="p1"/>
    <w:basedOn w:val="Normal"/>
    <w:rsid w:val="00C90668"/>
    <w:rPr>
      <w:rFonts w:ascii="Helvetica" w:eastAsiaTheme="minorHAnsi" w:hAnsi="Helvetica"/>
      <w:sz w:val="15"/>
      <w:szCs w:val="15"/>
      <w:lang w:val="en-US"/>
    </w:rPr>
  </w:style>
  <w:style w:type="character" w:customStyle="1" w:styleId="apple-converted-space">
    <w:name w:val="apple-converted-space"/>
    <w:basedOn w:val="Fuentedeprrafopredeter"/>
    <w:rsid w:val="00C90668"/>
  </w:style>
  <w:style w:type="character" w:customStyle="1" w:styleId="s1">
    <w:name w:val="s1"/>
    <w:basedOn w:val="Fuentedeprrafopredeter"/>
    <w:rsid w:val="00C90668"/>
    <w:rPr>
      <w:rFonts w:ascii="Times" w:hAnsi="Times" w:hint="default"/>
      <w:sz w:val="18"/>
      <w:szCs w:val="18"/>
    </w:rPr>
  </w:style>
  <w:style w:type="character" w:customStyle="1" w:styleId="s2">
    <w:name w:val="s2"/>
    <w:basedOn w:val="Fuentedeprrafopredeter"/>
    <w:rsid w:val="00C90668"/>
    <w:rPr>
      <w:rFonts w:ascii="Times New Roman" w:hAnsi="Times New Roman" w:cs="Times New Roman" w:hint="default"/>
      <w:sz w:val="11"/>
      <w:szCs w:val="11"/>
    </w:rPr>
  </w:style>
  <w:style w:type="character" w:customStyle="1" w:styleId="texhtml">
    <w:name w:val="texhtml"/>
    <w:basedOn w:val="Fuentedeprrafopredeter"/>
    <w:rsid w:val="00C90668"/>
  </w:style>
  <w:style w:type="paragraph" w:styleId="NormalWeb">
    <w:name w:val="Normal (Web)"/>
    <w:basedOn w:val="Normal"/>
    <w:uiPriority w:val="99"/>
    <w:unhideWhenUsed/>
    <w:rsid w:val="00C90668"/>
    <w:pPr>
      <w:spacing w:before="100" w:beforeAutospacing="1" w:after="100" w:afterAutospacing="1"/>
    </w:pPr>
    <w:rPr>
      <w:rFonts w:eastAsiaTheme="minorHAns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90668"/>
    <w:pPr>
      <w:tabs>
        <w:tab w:val="center" w:pos="4680"/>
        <w:tab w:val="right" w:pos="9360"/>
      </w:tabs>
    </w:pPr>
    <w:rPr>
      <w:rFonts w:eastAsiaTheme="minorHAns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0668"/>
    <w:rPr>
      <w:rFonts w:ascii="Times New Roman" w:hAnsi="Times New Roman" w:cs="Times New Roman"/>
      <w:lang w:val="en-US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C90668"/>
  </w:style>
  <w:style w:type="paragraph" w:styleId="Encabezado">
    <w:name w:val="header"/>
    <w:basedOn w:val="Normal"/>
    <w:link w:val="EncabezadoCar"/>
    <w:uiPriority w:val="99"/>
    <w:unhideWhenUsed/>
    <w:rsid w:val="00C90668"/>
    <w:pPr>
      <w:tabs>
        <w:tab w:val="center" w:pos="4680"/>
        <w:tab w:val="right" w:pos="9360"/>
      </w:tabs>
    </w:pPr>
    <w:rPr>
      <w:rFonts w:eastAsiaTheme="minorHAns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90668"/>
    <w:rPr>
      <w:rFonts w:ascii="Times New Roman" w:hAnsi="Times New Roman" w:cs="Times New Roman"/>
      <w:lang w:val="en-US" w:eastAsia="es-ES_tradnl"/>
    </w:rPr>
  </w:style>
  <w:style w:type="character" w:customStyle="1" w:styleId="ilfuvd">
    <w:name w:val="ilfuvd"/>
    <w:basedOn w:val="Fuentedeprrafopredeter"/>
    <w:rsid w:val="00C90668"/>
  </w:style>
  <w:style w:type="character" w:styleId="CdigoHTML">
    <w:name w:val="HTML Code"/>
    <w:basedOn w:val="Fuentedeprrafopredeter"/>
    <w:uiPriority w:val="99"/>
    <w:semiHidden/>
    <w:unhideWhenUsed/>
    <w:rsid w:val="00C90668"/>
    <w:rPr>
      <w:rFonts w:ascii="Courier New" w:eastAsiaTheme="minorHAnsi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906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90668"/>
    <w:rPr>
      <w:color w:val="0563C1" w:themeColor="hyperlink"/>
      <w:u w:val="single"/>
    </w:rPr>
  </w:style>
  <w:style w:type="character" w:customStyle="1" w:styleId="s3">
    <w:name w:val="s3"/>
    <w:basedOn w:val="Fuentedeprrafopredeter"/>
    <w:rsid w:val="00C90668"/>
    <w:rPr>
      <w:rFonts w:ascii="Helvetica" w:hAnsi="Helvetica" w:hint="default"/>
      <w:sz w:val="16"/>
      <w:szCs w:val="16"/>
    </w:rPr>
  </w:style>
  <w:style w:type="paragraph" w:styleId="Revisin">
    <w:name w:val="Revision"/>
    <w:hidden/>
    <w:uiPriority w:val="99"/>
    <w:semiHidden/>
    <w:rsid w:val="00C90668"/>
    <w:rPr>
      <w:rFonts w:ascii="Times New Roman" w:eastAsia="Times New Roman" w:hAnsi="Times New Roman" w:cs="Times New Roman"/>
      <w:lang w:eastAsia="es-ES_tradnl"/>
    </w:rPr>
  </w:style>
  <w:style w:type="table" w:styleId="Tablanormal5">
    <w:name w:val="Plain Table 5"/>
    <w:basedOn w:val="Tablanormal"/>
    <w:uiPriority w:val="45"/>
    <w:rsid w:val="00C90668"/>
    <w:rPr>
      <w:lang w:val="es-ES_tradn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C90668"/>
    <w:rPr>
      <w:i/>
      <w:iCs/>
    </w:rPr>
  </w:style>
  <w:style w:type="character" w:customStyle="1" w:styleId="journaltitle">
    <w:name w:val="journaltitle"/>
    <w:basedOn w:val="Fuentedeprrafopredeter"/>
    <w:rsid w:val="00C90668"/>
  </w:style>
  <w:style w:type="paragraph" w:customStyle="1" w:styleId="icon--meta-keyline">
    <w:name w:val="icon--meta-keyline"/>
    <w:basedOn w:val="Normal"/>
    <w:rsid w:val="00C90668"/>
    <w:pPr>
      <w:spacing w:before="100" w:beforeAutospacing="1" w:after="100" w:afterAutospacing="1"/>
    </w:pPr>
  </w:style>
  <w:style w:type="character" w:customStyle="1" w:styleId="articlecitationyear">
    <w:name w:val="articlecitation_year"/>
    <w:basedOn w:val="Fuentedeprrafopredeter"/>
    <w:rsid w:val="00C90668"/>
  </w:style>
  <w:style w:type="character" w:customStyle="1" w:styleId="articlecitationvolume">
    <w:name w:val="articlecitation_volume"/>
    <w:basedOn w:val="Fuentedeprrafopredeter"/>
    <w:rsid w:val="00C90668"/>
  </w:style>
  <w:style w:type="character" w:customStyle="1" w:styleId="articlecitationpages">
    <w:name w:val="articlecitation_pages"/>
    <w:basedOn w:val="Fuentedeprrafopredeter"/>
    <w:rsid w:val="00C90668"/>
  </w:style>
  <w:style w:type="character" w:customStyle="1" w:styleId="u-inline-block">
    <w:name w:val="u-inline-block"/>
    <w:basedOn w:val="Fuentedeprrafopredeter"/>
    <w:rsid w:val="00C90668"/>
  </w:style>
  <w:style w:type="paragraph" w:customStyle="1" w:styleId="u-mb-2">
    <w:name w:val="u-mb-2"/>
    <w:basedOn w:val="Normal"/>
    <w:rsid w:val="00C90668"/>
    <w:pPr>
      <w:spacing w:before="100" w:beforeAutospacing="1" w:after="100" w:afterAutospacing="1"/>
    </w:pPr>
  </w:style>
  <w:style w:type="character" w:customStyle="1" w:styleId="authorsname">
    <w:name w:val="authors__name"/>
    <w:basedOn w:val="Fuentedeprrafopredeter"/>
    <w:rsid w:val="00C90668"/>
  </w:style>
  <w:style w:type="character" w:customStyle="1" w:styleId="authorscontact">
    <w:name w:val="authors__contact"/>
    <w:basedOn w:val="Fuentedeprrafopredeter"/>
    <w:rsid w:val="00C90668"/>
  </w:style>
  <w:style w:type="character" w:customStyle="1" w:styleId="hlfld-contribauthor">
    <w:name w:val="hlfld-contribauthor"/>
    <w:basedOn w:val="Fuentedeprrafopredeter"/>
    <w:rsid w:val="00C90668"/>
  </w:style>
  <w:style w:type="character" w:customStyle="1" w:styleId="nlmgiven-names">
    <w:name w:val="nlm_given-names"/>
    <w:basedOn w:val="Fuentedeprrafopredeter"/>
    <w:rsid w:val="00C90668"/>
  </w:style>
  <w:style w:type="character" w:customStyle="1" w:styleId="nlmyear">
    <w:name w:val="nlm_year"/>
    <w:basedOn w:val="Fuentedeprrafopredeter"/>
    <w:rsid w:val="00C90668"/>
  </w:style>
  <w:style w:type="character" w:customStyle="1" w:styleId="nlmpublisher-name">
    <w:name w:val="nlm_publisher-name"/>
    <w:basedOn w:val="Fuentedeprrafopredeter"/>
    <w:rsid w:val="00C90668"/>
  </w:style>
  <w:style w:type="character" w:customStyle="1" w:styleId="nlmpublisher-loc">
    <w:name w:val="nlm_publisher-loc"/>
    <w:basedOn w:val="Fuentedeprrafopredeter"/>
    <w:rsid w:val="00C90668"/>
  </w:style>
  <w:style w:type="character" w:customStyle="1" w:styleId="sr-only">
    <w:name w:val="sr-only"/>
    <w:basedOn w:val="Fuentedeprrafopredeter"/>
    <w:rsid w:val="00C90668"/>
  </w:style>
  <w:style w:type="character" w:customStyle="1" w:styleId="inline">
    <w:name w:val="inline"/>
    <w:basedOn w:val="Fuentedeprrafopredeter"/>
    <w:rsid w:val="00C90668"/>
  </w:style>
  <w:style w:type="character" w:customStyle="1" w:styleId="Mencinsinresolver1">
    <w:name w:val="Mención sin resolver1"/>
    <w:basedOn w:val="Fuentedeprrafopredeter"/>
    <w:uiPriority w:val="99"/>
    <w:rsid w:val="00C90668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unhideWhenUsed/>
    <w:rsid w:val="00C90668"/>
    <w:rPr>
      <w:rFonts w:asciiTheme="minorHAnsi" w:hAnsiTheme="minorHAnsi"/>
      <w:sz w:val="24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906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668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0668"/>
    <w:rPr>
      <w:color w:val="808080"/>
    </w:rPr>
  </w:style>
  <w:style w:type="paragraph" w:styleId="Sinespaciado">
    <w:name w:val="No Spacing"/>
    <w:uiPriority w:val="1"/>
    <w:qFormat/>
    <w:rsid w:val="00C90668"/>
    <w:rPr>
      <w:szCs w:val="22"/>
      <w:lang w:val="en-CA"/>
    </w:rPr>
  </w:style>
  <w:style w:type="paragraph" w:customStyle="1" w:styleId="author">
    <w:name w:val="author"/>
    <w:basedOn w:val="Normal"/>
    <w:rsid w:val="00C90668"/>
    <w:pPr>
      <w:spacing w:before="100" w:beforeAutospacing="1" w:after="100" w:afterAutospacing="1"/>
    </w:pPr>
  </w:style>
  <w:style w:type="paragraph" w:customStyle="1" w:styleId="fulltext">
    <w:name w:val="fulltext"/>
    <w:basedOn w:val="Normal"/>
    <w:rsid w:val="00C90668"/>
    <w:pPr>
      <w:spacing w:before="100" w:beforeAutospacing="1" w:after="100" w:afterAutospacing="1"/>
    </w:pPr>
  </w:style>
  <w:style w:type="character" w:customStyle="1" w:styleId="nobrwithwbr">
    <w:name w:val="nobrwithwbr"/>
    <w:basedOn w:val="Fuentedeprrafopredeter"/>
    <w:rsid w:val="00C90668"/>
  </w:style>
  <w:style w:type="paragraph" w:customStyle="1" w:styleId="first">
    <w:name w:val="first"/>
    <w:basedOn w:val="Normal"/>
    <w:rsid w:val="00C90668"/>
    <w:pPr>
      <w:spacing w:before="100" w:beforeAutospacing="1" w:after="100" w:afterAutospacing="1"/>
    </w:pPr>
  </w:style>
  <w:style w:type="paragraph" w:customStyle="1" w:styleId="bold">
    <w:name w:val="bold"/>
    <w:basedOn w:val="Normal"/>
    <w:rsid w:val="00C90668"/>
    <w:pPr>
      <w:spacing w:before="100" w:beforeAutospacing="1" w:after="100" w:afterAutospacing="1"/>
    </w:pPr>
  </w:style>
  <w:style w:type="paragraph" w:customStyle="1" w:styleId="no-margin">
    <w:name w:val="no-margin"/>
    <w:basedOn w:val="Normal"/>
    <w:rsid w:val="00C90668"/>
    <w:pPr>
      <w:spacing w:before="100" w:beforeAutospacing="1" w:after="100" w:afterAutospacing="1"/>
    </w:pPr>
  </w:style>
  <w:style w:type="character" w:customStyle="1" w:styleId="nlmday">
    <w:name w:val="nlm_day"/>
    <w:basedOn w:val="Fuentedeprrafopredeter"/>
    <w:rsid w:val="00C90668"/>
  </w:style>
  <w:style w:type="paragraph" w:customStyle="1" w:styleId="citationline">
    <w:name w:val="citationline"/>
    <w:basedOn w:val="Normal"/>
    <w:rsid w:val="00C90668"/>
    <w:pPr>
      <w:spacing w:before="100" w:beforeAutospacing="1" w:after="100" w:afterAutospacing="1"/>
    </w:pPr>
  </w:style>
  <w:style w:type="character" w:customStyle="1" w:styleId="italic">
    <w:name w:val="italic"/>
    <w:basedOn w:val="Fuentedeprrafopredeter"/>
    <w:rsid w:val="00C90668"/>
  </w:style>
  <w:style w:type="character" w:customStyle="1" w:styleId="fipmark">
    <w:name w:val="fip_mark"/>
    <w:basedOn w:val="Fuentedeprrafopredeter"/>
    <w:rsid w:val="00C90668"/>
  </w:style>
  <w:style w:type="character" w:customStyle="1" w:styleId="highwire-cite-metadata-volume">
    <w:name w:val="highwire-cite-metadata-volume"/>
    <w:basedOn w:val="Fuentedeprrafopredeter"/>
    <w:rsid w:val="00C90668"/>
  </w:style>
  <w:style w:type="character" w:customStyle="1" w:styleId="highwire-cite-metadata-issue">
    <w:name w:val="highwire-cite-metadata-issue"/>
    <w:basedOn w:val="Fuentedeprrafopredeter"/>
    <w:rsid w:val="00C90668"/>
  </w:style>
  <w:style w:type="character" w:customStyle="1" w:styleId="highwire-cite-metadata-pages">
    <w:name w:val="highwire-cite-metadata-pages"/>
    <w:basedOn w:val="Fuentedeprrafopredeter"/>
    <w:rsid w:val="00C90668"/>
  </w:style>
  <w:style w:type="paragraph" w:styleId="Ttulo">
    <w:name w:val="Title"/>
    <w:basedOn w:val="Normal"/>
    <w:next w:val="Normal"/>
    <w:link w:val="TtuloCar"/>
    <w:uiPriority w:val="10"/>
    <w:qFormat/>
    <w:rsid w:val="00C90668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0668"/>
    <w:rPr>
      <w:rFonts w:asciiTheme="majorHAnsi" w:eastAsiaTheme="majorEastAsia" w:hAnsiTheme="majorHAnsi" w:cstheme="majorBidi"/>
      <w:b/>
      <w:spacing w:val="5"/>
      <w:sz w:val="36"/>
      <w:szCs w:val="52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668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C90668"/>
    <w:rPr>
      <w:rFonts w:asciiTheme="majorHAnsi" w:eastAsiaTheme="majorEastAsia" w:hAnsiTheme="majorHAnsi" w:cstheme="majorBidi"/>
      <w:b/>
      <w:i/>
      <w:iCs/>
      <w:spacing w:val="13"/>
      <w:sz w:val="32"/>
      <w:lang w:eastAsia="es-ES_tradnl"/>
    </w:rPr>
  </w:style>
  <w:style w:type="paragraph" w:styleId="Cita">
    <w:name w:val="Quote"/>
    <w:basedOn w:val="Normal"/>
    <w:next w:val="Normal"/>
    <w:link w:val="CitaCar"/>
    <w:uiPriority w:val="29"/>
    <w:rsid w:val="00C90668"/>
    <w:pPr>
      <w:spacing w:before="20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0668"/>
    <w:rPr>
      <w:rFonts w:ascii="Times New Roman" w:eastAsia="Times New Roman" w:hAnsi="Times New Roman" w:cs="Times New Roman"/>
      <w:i/>
      <w:iCs/>
      <w:lang w:eastAsia="es-ES_tradnl"/>
    </w:rPr>
  </w:style>
  <w:style w:type="paragraph" w:styleId="Citadestacada">
    <w:name w:val="Intense Quote"/>
    <w:basedOn w:val="Normal"/>
    <w:next w:val="Normal"/>
    <w:link w:val="CitadestacadaCar"/>
    <w:uiPriority w:val="30"/>
    <w:rsid w:val="00C906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668"/>
    <w:rPr>
      <w:rFonts w:ascii="Times New Roman" w:eastAsia="Times New Roman" w:hAnsi="Times New Roman" w:cs="Times New Roman"/>
      <w:b/>
      <w:bCs/>
      <w:i/>
      <w:iCs/>
      <w:lang w:eastAsia="es-ES_tradnl"/>
    </w:rPr>
  </w:style>
  <w:style w:type="character" w:styleId="nfasissutil">
    <w:name w:val="Subtle Emphasis"/>
    <w:uiPriority w:val="19"/>
    <w:rsid w:val="00C90668"/>
    <w:rPr>
      <w:i/>
      <w:iCs/>
    </w:rPr>
  </w:style>
  <w:style w:type="character" w:styleId="nfasisintenso">
    <w:name w:val="Intense Emphasis"/>
    <w:uiPriority w:val="21"/>
    <w:rsid w:val="00C90668"/>
    <w:rPr>
      <w:b/>
      <w:bCs/>
    </w:rPr>
  </w:style>
  <w:style w:type="character" w:styleId="Referenciasutil">
    <w:name w:val="Subtle Reference"/>
    <w:uiPriority w:val="31"/>
    <w:rsid w:val="00C90668"/>
    <w:rPr>
      <w:smallCaps/>
    </w:rPr>
  </w:style>
  <w:style w:type="character" w:styleId="Referenciaintensa">
    <w:name w:val="Intense Reference"/>
    <w:uiPriority w:val="32"/>
    <w:rsid w:val="00C90668"/>
    <w:rPr>
      <w:smallCaps/>
      <w:spacing w:val="5"/>
      <w:u w:val="single"/>
    </w:rPr>
  </w:style>
  <w:style w:type="character" w:styleId="Ttulodellibro">
    <w:name w:val="Book Title"/>
    <w:uiPriority w:val="33"/>
    <w:rsid w:val="00C90668"/>
    <w:rPr>
      <w:i/>
      <w:iCs/>
      <w:smallCaps/>
      <w:spacing w:val="5"/>
    </w:rPr>
  </w:style>
  <w:style w:type="table" w:styleId="Tablanormal2">
    <w:name w:val="Plain Table 2"/>
    <w:basedOn w:val="Tablanormal"/>
    <w:uiPriority w:val="42"/>
    <w:rsid w:val="00C90668"/>
    <w:rPr>
      <w:sz w:val="22"/>
      <w:szCs w:val="22"/>
      <w:lang w:val="en-C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C90668"/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C90668"/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angra2detindependiente">
    <w:name w:val="Body Text Indent 2"/>
    <w:basedOn w:val="Normal"/>
    <w:link w:val="Sangra2detindependienteCar"/>
    <w:rsid w:val="00C90668"/>
    <w:pPr>
      <w:widowControl w:val="0"/>
      <w:ind w:left="1440" w:hanging="720"/>
    </w:pPr>
    <w:rPr>
      <w:sz w:val="20"/>
      <w:szCs w:val="20"/>
      <w:lang w:val="en-GB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90668"/>
    <w:rPr>
      <w:rFonts w:ascii="Times New Roman" w:eastAsia="Times New Roman" w:hAnsi="Times New Roman" w:cs="Times New Roman"/>
      <w:sz w:val="20"/>
      <w:szCs w:val="20"/>
      <w:lang w:val="en-GB" w:eastAsia="es-ES_tradnl"/>
    </w:rPr>
  </w:style>
  <w:style w:type="paragraph" w:customStyle="1" w:styleId="Default">
    <w:name w:val="Default"/>
    <w:rsid w:val="00C906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  <w:lang w:val="en-US" w:eastAsia="en-CA"/>
    </w:rPr>
  </w:style>
  <w:style w:type="character" w:customStyle="1" w:styleId="textcell">
    <w:name w:val="textcell"/>
    <w:basedOn w:val="Fuentedeprrafopredeter"/>
    <w:rsid w:val="00C90668"/>
  </w:style>
  <w:style w:type="character" w:customStyle="1" w:styleId="numbercell">
    <w:name w:val="numbercell"/>
    <w:basedOn w:val="Fuentedeprrafopredeter"/>
    <w:rsid w:val="00C9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1729</Words>
  <Characters>9511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Arranz</dc:creator>
  <cp:keywords/>
  <dc:description/>
  <cp:lastModifiedBy>Ignasi Arranz</cp:lastModifiedBy>
  <cp:revision>2</cp:revision>
  <dcterms:created xsi:type="dcterms:W3CDTF">2021-09-07T14:05:00Z</dcterms:created>
  <dcterms:modified xsi:type="dcterms:W3CDTF">2021-09-07T14:15:00Z</dcterms:modified>
</cp:coreProperties>
</file>