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6F0" w:rsidRPr="00E84650" w:rsidRDefault="007526F0" w:rsidP="007526F0">
      <w:pPr>
        <w:spacing w:line="480" w:lineRule="auto"/>
        <w:ind w:right="-279"/>
        <w:jc w:val="both"/>
        <w:outlineLvl w:val="0"/>
        <w:rPr>
          <w:color w:val="000000" w:themeColor="text1"/>
          <w:sz w:val="21"/>
          <w:lang w:val="en-US"/>
        </w:rPr>
      </w:pPr>
      <w:r w:rsidRPr="00540BFA">
        <w:rPr>
          <w:color w:val="000000" w:themeColor="text1"/>
          <w:sz w:val="21"/>
          <w:lang w:val="en-US"/>
        </w:rPr>
        <w:t xml:space="preserve">Ignasi Arranz, Bertrand Fournier, Nigel P. Lester, Brian J. </w:t>
      </w:r>
      <w:proofErr w:type="spellStart"/>
      <w:r w:rsidRPr="00540BFA">
        <w:rPr>
          <w:color w:val="000000" w:themeColor="text1"/>
          <w:sz w:val="21"/>
          <w:lang w:val="en-US"/>
        </w:rPr>
        <w:t>Shuter</w:t>
      </w:r>
      <w:proofErr w:type="spellEnd"/>
      <w:r w:rsidRPr="00540BFA">
        <w:rPr>
          <w:color w:val="000000" w:themeColor="text1"/>
          <w:sz w:val="21"/>
          <w:lang w:val="en-US"/>
        </w:rPr>
        <w:t>, and Pedro R. Peres-</w:t>
      </w:r>
      <w:proofErr w:type="spellStart"/>
      <w:r w:rsidRPr="00540BFA">
        <w:rPr>
          <w:color w:val="000000" w:themeColor="text1"/>
          <w:sz w:val="21"/>
          <w:lang w:val="en-US"/>
        </w:rPr>
        <w:t>Neto</w:t>
      </w:r>
      <w:proofErr w:type="spellEnd"/>
      <w:r w:rsidRPr="00540BFA">
        <w:rPr>
          <w:color w:val="000000" w:themeColor="text1"/>
          <w:sz w:val="21"/>
          <w:lang w:val="en-US"/>
        </w:rPr>
        <w:t>. Species compositions mediate biomass conservation: the case of lake fish communities</w:t>
      </w:r>
      <w:r>
        <w:rPr>
          <w:color w:val="000000" w:themeColor="text1"/>
          <w:sz w:val="21"/>
          <w:lang w:val="en-US"/>
        </w:rPr>
        <w:t>.</w:t>
      </w:r>
      <w:r w:rsidRPr="00540BFA">
        <w:rPr>
          <w:color w:val="000000" w:themeColor="text1"/>
          <w:sz w:val="21"/>
          <w:lang w:val="en-US"/>
        </w:rPr>
        <w:t xml:space="preserve"> Ecology</w:t>
      </w:r>
      <w:r>
        <w:rPr>
          <w:color w:val="000000" w:themeColor="text1"/>
          <w:sz w:val="21"/>
          <w:lang w:val="en-US"/>
        </w:rPr>
        <w:t>.</w:t>
      </w:r>
    </w:p>
    <w:p w:rsidR="00207D2E" w:rsidRPr="004001C1" w:rsidRDefault="00207D2E" w:rsidP="00207D2E">
      <w:pPr>
        <w:spacing w:line="480" w:lineRule="auto"/>
        <w:ind w:right="-279"/>
        <w:jc w:val="both"/>
        <w:rPr>
          <w:rFonts w:eastAsiaTheme="majorEastAsia"/>
          <w:color w:val="2F5496" w:themeColor="accent1" w:themeShade="BF"/>
          <w:sz w:val="28"/>
          <w:szCs w:val="32"/>
          <w:lang w:val="en-US"/>
        </w:rPr>
      </w:pPr>
      <w:bookmarkStart w:id="0" w:name="_GoBack"/>
      <w:bookmarkEnd w:id="0"/>
      <w:r w:rsidRPr="004001C1">
        <w:rPr>
          <w:rFonts w:eastAsiaTheme="majorEastAsia"/>
          <w:color w:val="2F5496" w:themeColor="accent1" w:themeShade="BF"/>
          <w:sz w:val="28"/>
          <w:szCs w:val="32"/>
          <w:lang w:val="en-US"/>
        </w:rPr>
        <w:t>Appendix S</w:t>
      </w:r>
      <w:r w:rsidRPr="00207D2E">
        <w:rPr>
          <w:rFonts w:eastAsiaTheme="majorEastAsia"/>
          <w:color w:val="2F5496" w:themeColor="accent1" w:themeShade="BF"/>
          <w:sz w:val="28"/>
          <w:szCs w:val="32"/>
          <w:lang w:val="en-US"/>
        </w:rPr>
        <w:t>5</w:t>
      </w:r>
      <w:r w:rsidRPr="004001C1">
        <w:rPr>
          <w:rFonts w:eastAsiaTheme="majorEastAsia"/>
          <w:color w:val="2F5496" w:themeColor="accent1" w:themeShade="BF"/>
          <w:sz w:val="28"/>
          <w:szCs w:val="32"/>
          <w:lang w:val="en-US"/>
        </w:rPr>
        <w:t>. Estimating slope of the biomass size spectrum</w:t>
      </w:r>
    </w:p>
    <w:p w:rsidR="00207D2E" w:rsidRPr="00207D2E" w:rsidRDefault="00207D2E" w:rsidP="00207D2E">
      <w:pPr>
        <w:spacing w:line="480" w:lineRule="auto"/>
        <w:ind w:firstLine="720"/>
        <w:jc w:val="both"/>
        <w:rPr>
          <w:color w:val="000000" w:themeColor="text1"/>
          <w:lang w:val="en-US"/>
        </w:rPr>
      </w:pPr>
      <w:r w:rsidRPr="00FA14B1">
        <w:rPr>
          <w:color w:val="000000" w:themeColor="text1"/>
          <w:lang w:val="en-US"/>
        </w:rPr>
        <w:t>To estimate the size spectrum slope, we first described the size frequency of fish in each lake (Table S1; Fig. S1; Fig. S2). BPUE within each size class represents the expected catch from fishing 100 m of each net for 18 h. It is a biased index of fish density because gillnet sampling is size selective: (</w:t>
      </w:r>
      <w:proofErr w:type="spellStart"/>
      <w:r w:rsidRPr="00FA14B1">
        <w:rPr>
          <w:i/>
          <w:iCs/>
          <w:color w:val="000000" w:themeColor="text1"/>
          <w:lang w:val="en-US"/>
        </w:rPr>
        <w:t>i</w:t>
      </w:r>
      <w:proofErr w:type="spellEnd"/>
      <w:r w:rsidRPr="00FA14B1">
        <w:rPr>
          <w:color w:val="000000" w:themeColor="text1"/>
          <w:lang w:val="en-US"/>
        </w:rPr>
        <w:t>) mesh size affects the size of fish captured, and (</w:t>
      </w:r>
      <w:r w:rsidRPr="00FA14B1">
        <w:rPr>
          <w:i/>
          <w:iCs/>
          <w:color w:val="000000" w:themeColor="text1"/>
          <w:lang w:val="en-US"/>
        </w:rPr>
        <w:t>ii</w:t>
      </w:r>
      <w:r w:rsidRPr="00FA14B1">
        <w:rPr>
          <w:color w:val="000000" w:themeColor="text1"/>
          <w:lang w:val="en-US"/>
        </w:rPr>
        <w:t>) larger fish are more likely to encounter the gear given that swimming speed and home range increase with body size (</w:t>
      </w:r>
      <w:proofErr w:type="spellStart"/>
      <w:r w:rsidRPr="00FA14B1">
        <w:rPr>
          <w:color w:val="000000" w:themeColor="text1"/>
          <w:lang w:val="en-US"/>
        </w:rPr>
        <w:t>Rudstam</w:t>
      </w:r>
      <w:proofErr w:type="spellEnd"/>
      <w:r w:rsidRPr="00FA14B1">
        <w:rPr>
          <w:color w:val="000000" w:themeColor="text1"/>
          <w:lang w:val="en-US"/>
        </w:rPr>
        <w:t xml:space="preserve"> et al. 1984). To correct for this bias, we estimated the size selectivity of </w:t>
      </w:r>
      <w:r w:rsidRPr="00207D2E">
        <w:rPr>
          <w:color w:val="000000" w:themeColor="text1"/>
          <w:lang w:val="en-US"/>
        </w:rPr>
        <w:t>our sampling method and then calculated corrected indices as BPUE.Selectivity</w:t>
      </w:r>
      <w:r w:rsidRPr="00207D2E">
        <w:rPr>
          <w:color w:val="000000" w:themeColor="text1"/>
          <w:vertAlign w:val="superscript"/>
          <w:lang w:val="en-US"/>
        </w:rPr>
        <w:t>-1</w:t>
      </w:r>
      <w:r w:rsidRPr="00207D2E">
        <w:rPr>
          <w:color w:val="000000" w:themeColor="text1"/>
          <w:lang w:val="en-US"/>
        </w:rPr>
        <w:t xml:space="preserve"> (Appendix S3: Fig. S1). These corrected indices of biomass, calculated for different size classes of fish, were used to estimate the slope of the Normalized Biomass</w:t>
      </w:r>
      <w:r w:rsidRPr="00207D2E">
        <w:rPr>
          <w:strike/>
          <w:color w:val="000000" w:themeColor="text1"/>
          <w:lang w:val="en-US"/>
        </w:rPr>
        <w:t xml:space="preserve"> </w:t>
      </w:r>
      <w:r w:rsidRPr="00207D2E">
        <w:rPr>
          <w:color w:val="000000" w:themeColor="text1"/>
          <w:lang w:val="en-US"/>
        </w:rPr>
        <w:t>Spectrum (NBS) (Fig. S3).</w:t>
      </w:r>
    </w:p>
    <w:p w:rsidR="00207D2E" w:rsidRPr="00FA14B1" w:rsidRDefault="00207D2E" w:rsidP="00207D2E">
      <w:pPr>
        <w:spacing w:line="480" w:lineRule="auto"/>
        <w:ind w:firstLine="720"/>
        <w:jc w:val="both"/>
        <w:rPr>
          <w:color w:val="000000" w:themeColor="text1"/>
          <w:lang w:val="en-US"/>
        </w:rPr>
      </w:pPr>
      <w:r w:rsidRPr="00207D2E">
        <w:rPr>
          <w:color w:val="000000" w:themeColor="text1"/>
          <w:lang w:val="en-US"/>
        </w:rPr>
        <w:t>We also used maximum likelihood methods (MLE) to estimate slopes (Edwards et al. 2017) but we found the two methods were highly correlated (Pearson’s rank correlation r=0.88; Appendix S5: Fig</w:t>
      </w:r>
      <w:r w:rsidRPr="00FA14B1">
        <w:rPr>
          <w:color w:val="000000" w:themeColor="text1"/>
          <w:lang w:val="en-US"/>
        </w:rPr>
        <w:t>. S4). We used the OLS slopes in subsequent analyses because Xiao et al. (2011) showed that OLS on binned data works best under the multiplicative error structure that almost certainly holds for our data.</w:t>
      </w:r>
    </w:p>
    <w:p w:rsidR="00207D2E" w:rsidRPr="004001C1" w:rsidRDefault="00207D2E" w:rsidP="00207D2E">
      <w:pPr>
        <w:spacing w:line="480" w:lineRule="auto"/>
        <w:ind w:right="-279"/>
        <w:jc w:val="both"/>
        <w:rPr>
          <w:rFonts w:eastAsiaTheme="majorEastAsia"/>
          <w:color w:val="2F5496" w:themeColor="accent1" w:themeShade="BF"/>
          <w:sz w:val="28"/>
          <w:szCs w:val="32"/>
          <w:lang w:val="en-US"/>
        </w:rPr>
      </w:pPr>
      <w:r w:rsidRPr="004001C1">
        <w:rPr>
          <w:rFonts w:eastAsiaTheme="majorEastAsia"/>
          <w:color w:val="2F5496" w:themeColor="accent1" w:themeShade="BF"/>
          <w:sz w:val="28"/>
          <w:szCs w:val="32"/>
          <w:lang w:val="en-US"/>
        </w:rPr>
        <w:t>References</w:t>
      </w:r>
    </w:p>
    <w:p w:rsidR="00207D2E" w:rsidRPr="00FA14B1" w:rsidRDefault="00207D2E" w:rsidP="00207D2E">
      <w:pPr>
        <w:spacing w:line="480" w:lineRule="auto"/>
        <w:ind w:left="720" w:hanging="720"/>
        <w:jc w:val="both"/>
        <w:rPr>
          <w:bCs/>
          <w:color w:val="000000" w:themeColor="text1"/>
          <w:lang w:val="en-US"/>
        </w:rPr>
      </w:pPr>
      <w:r w:rsidRPr="00FA14B1">
        <w:rPr>
          <w:bCs/>
          <w:color w:val="000000" w:themeColor="text1"/>
          <w:lang w:val="en-US"/>
        </w:rPr>
        <w:t xml:space="preserve">Edwards, A. M. et al. 2017. Testing and recommending methods for fitting size spectra to data. </w:t>
      </w:r>
      <w:r w:rsidRPr="00FA14B1">
        <w:rPr>
          <w:bCs/>
          <w:iCs/>
          <w:color w:val="000000" w:themeColor="text1"/>
          <w:lang w:val="en-US"/>
        </w:rPr>
        <w:t xml:space="preserve">Methods in Ecology and Evolution </w:t>
      </w:r>
      <w:r w:rsidRPr="00FA14B1">
        <w:rPr>
          <w:b/>
          <w:bCs/>
          <w:color w:val="000000" w:themeColor="text1"/>
          <w:lang w:val="en-US"/>
        </w:rPr>
        <w:t>8</w:t>
      </w:r>
      <w:r w:rsidRPr="00FA14B1">
        <w:rPr>
          <w:bCs/>
          <w:color w:val="000000" w:themeColor="text1"/>
          <w:lang w:val="en-US"/>
        </w:rPr>
        <w:t>: 57–67.</w:t>
      </w:r>
    </w:p>
    <w:p w:rsidR="00207D2E" w:rsidRPr="00FA14B1" w:rsidRDefault="00207D2E" w:rsidP="00207D2E">
      <w:pPr>
        <w:spacing w:line="480" w:lineRule="auto"/>
        <w:ind w:left="709" w:hanging="709"/>
        <w:jc w:val="both"/>
        <w:rPr>
          <w:color w:val="000000" w:themeColor="text1"/>
          <w:lang w:val="en-US"/>
        </w:rPr>
      </w:pPr>
      <w:proofErr w:type="spellStart"/>
      <w:r w:rsidRPr="00FA14B1">
        <w:rPr>
          <w:color w:val="000000" w:themeColor="text1"/>
          <w:lang w:val="en-US"/>
        </w:rPr>
        <w:t>Rudstam</w:t>
      </w:r>
      <w:proofErr w:type="spellEnd"/>
      <w:r w:rsidRPr="00FA14B1">
        <w:rPr>
          <w:color w:val="000000" w:themeColor="text1"/>
          <w:lang w:val="en-US"/>
        </w:rPr>
        <w:t xml:space="preserve">, L. G., J. J. Magnuson, and W. M. </w:t>
      </w:r>
      <w:proofErr w:type="spellStart"/>
      <w:r w:rsidRPr="00FA14B1">
        <w:rPr>
          <w:color w:val="000000" w:themeColor="text1"/>
          <w:lang w:val="en-US"/>
        </w:rPr>
        <w:t>Tonn</w:t>
      </w:r>
      <w:proofErr w:type="spellEnd"/>
      <w:r w:rsidRPr="00FA14B1">
        <w:rPr>
          <w:color w:val="000000" w:themeColor="text1"/>
          <w:lang w:val="en-US"/>
        </w:rPr>
        <w:t xml:space="preserve">. 1984. Size selectivity of passive angling gear: a correction for encounter probability applied to gill nets. Canadian Journal of Fisheries and Aquatic Sciences </w:t>
      </w:r>
      <w:r w:rsidRPr="00FA14B1">
        <w:rPr>
          <w:b/>
          <w:color w:val="000000" w:themeColor="text1"/>
          <w:lang w:val="en-US"/>
        </w:rPr>
        <w:t>41</w:t>
      </w:r>
      <w:r w:rsidRPr="00FA14B1">
        <w:rPr>
          <w:color w:val="000000" w:themeColor="text1"/>
          <w:lang w:val="en-US"/>
        </w:rPr>
        <w:t>: 1252–1255.</w:t>
      </w:r>
    </w:p>
    <w:p w:rsidR="00207D2E" w:rsidRPr="00FA14B1" w:rsidRDefault="00207D2E" w:rsidP="00207D2E">
      <w:pPr>
        <w:spacing w:line="480" w:lineRule="auto"/>
        <w:ind w:left="720" w:hanging="720"/>
        <w:jc w:val="both"/>
        <w:rPr>
          <w:color w:val="000000" w:themeColor="text1"/>
          <w:lang w:val="en-US"/>
        </w:rPr>
      </w:pPr>
      <w:r w:rsidRPr="00FA14B1">
        <w:rPr>
          <w:color w:val="000000" w:themeColor="text1"/>
          <w:lang w:val="en-US"/>
        </w:rPr>
        <w:lastRenderedPageBreak/>
        <w:t xml:space="preserve">Xiao, X., E. P. White, M. B. Hooten, and S. L. Durham. 2011. On the use of log-transformation vs. nonlinear regression for analyzing biological power laws. </w:t>
      </w:r>
      <w:r w:rsidRPr="00FA14B1">
        <w:rPr>
          <w:iCs/>
          <w:color w:val="000000" w:themeColor="text1"/>
          <w:lang w:val="en-US"/>
        </w:rPr>
        <w:t>Ecology</w:t>
      </w:r>
      <w:r w:rsidRPr="00FA14B1">
        <w:rPr>
          <w:color w:val="000000" w:themeColor="text1"/>
          <w:lang w:val="en-US"/>
        </w:rPr>
        <w:t xml:space="preserve"> </w:t>
      </w:r>
      <w:r w:rsidRPr="00FA14B1">
        <w:rPr>
          <w:b/>
          <w:bCs/>
          <w:color w:val="000000" w:themeColor="text1"/>
          <w:lang w:val="en-US"/>
        </w:rPr>
        <w:t>92</w:t>
      </w:r>
      <w:r w:rsidRPr="00FA14B1">
        <w:rPr>
          <w:color w:val="000000" w:themeColor="text1"/>
          <w:lang w:val="en-US"/>
        </w:rPr>
        <w:t>: 1887–1894.</w:t>
      </w:r>
    </w:p>
    <w:p w:rsidR="00207D2E" w:rsidRPr="00FA14B1" w:rsidRDefault="00207D2E" w:rsidP="00207D2E">
      <w:pPr>
        <w:spacing w:line="480" w:lineRule="auto"/>
        <w:ind w:left="720" w:hanging="720"/>
        <w:jc w:val="both"/>
        <w:rPr>
          <w:color w:val="000000" w:themeColor="text1"/>
          <w:lang w:val="en-US"/>
        </w:rPr>
      </w:pPr>
    </w:p>
    <w:p w:rsidR="00207D2E" w:rsidRPr="00FA14B1" w:rsidRDefault="00207D2E" w:rsidP="00207D2E">
      <w:pPr>
        <w:spacing w:after="200" w:line="480" w:lineRule="auto"/>
        <w:jc w:val="both"/>
        <w:rPr>
          <w:color w:val="000000" w:themeColor="text1"/>
          <w:lang w:val="en-US"/>
        </w:rPr>
      </w:pPr>
      <w:r w:rsidRPr="00FA14B1">
        <w:rPr>
          <w:b/>
          <w:color w:val="000000" w:themeColor="text1"/>
          <w:lang w:val="en-US"/>
        </w:rPr>
        <w:t>Table S1.</w:t>
      </w:r>
      <w:r w:rsidRPr="00FA14B1">
        <w:rPr>
          <w:color w:val="000000" w:themeColor="text1"/>
          <w:lang w:val="en-US"/>
        </w:rPr>
        <w:t xml:space="preserve"> Table showing the mean fish size distribution for the entire dataset (639 lakes). Mean BPUE is </w:t>
      </w:r>
      <w:r w:rsidRPr="00207D2E">
        <w:rPr>
          <w:color w:val="000000" w:themeColor="text1"/>
          <w:lang w:val="en-US"/>
        </w:rPr>
        <w:t xml:space="preserve">shown for a geometric series of size intervals (0–2 g, 2–4 g, 4–8 g, 8–16 g, </w:t>
      </w:r>
      <w:proofErr w:type="spellStart"/>
      <w:r w:rsidRPr="00207D2E">
        <w:rPr>
          <w:color w:val="000000" w:themeColor="text1"/>
          <w:lang w:val="en-US"/>
        </w:rPr>
        <w:t>etc</w:t>
      </w:r>
      <w:proofErr w:type="spellEnd"/>
      <w:r w:rsidRPr="00207D2E">
        <w:rPr>
          <w:color w:val="000000" w:themeColor="text1"/>
          <w:lang w:val="en-US"/>
        </w:rPr>
        <w:t>) along with estimates of the sampling selectivity (see Appendix S3). Corrected BPUE is calculated as BPUE divided by Selectivity.  This index of biomass density is used to calculate a normalized index of biomass density (= Corrected BPUE divided by width</w:t>
      </w:r>
      <w:r w:rsidRPr="00207D2E">
        <w:rPr>
          <w:color w:val="000000" w:themeColor="text1"/>
          <w:vertAlign w:val="superscript"/>
          <w:lang w:val="en-US"/>
        </w:rPr>
        <w:t xml:space="preserve"> </w:t>
      </w:r>
      <w:r w:rsidRPr="00207D2E">
        <w:rPr>
          <w:color w:val="000000" w:themeColor="text1"/>
          <w:lang w:val="en-US"/>
        </w:rPr>
        <w:t>of the size interval). Regressing the logarithm of this index against the size interval label (i.e., log</w:t>
      </w:r>
      <w:r w:rsidRPr="00207D2E">
        <w:rPr>
          <w:color w:val="000000" w:themeColor="text1"/>
          <w:vertAlign w:val="subscript"/>
          <w:lang w:val="en-US"/>
        </w:rPr>
        <w:t>2</w:t>
      </w:r>
      <w:r w:rsidRPr="00207D2E">
        <w:rPr>
          <w:color w:val="000000" w:themeColor="text1"/>
          <w:lang w:val="en-US"/>
        </w:rPr>
        <w:t>(body mass)) supplies an estimate of the size spectrum slope, as illustrated in Fig. S1 of Appendix S5.</w:t>
      </w:r>
    </w:p>
    <w:tbl>
      <w:tblPr>
        <w:tblW w:w="10348" w:type="dxa"/>
        <w:tblInd w:w="-851" w:type="dxa"/>
        <w:tblLayout w:type="fixed"/>
        <w:tblLook w:val="04A0" w:firstRow="1" w:lastRow="0" w:firstColumn="1" w:lastColumn="0" w:noHBand="0" w:noVBand="1"/>
      </w:tblPr>
      <w:tblGrid>
        <w:gridCol w:w="993"/>
        <w:gridCol w:w="992"/>
        <w:gridCol w:w="709"/>
        <w:gridCol w:w="283"/>
        <w:gridCol w:w="1134"/>
        <w:gridCol w:w="1276"/>
        <w:gridCol w:w="850"/>
        <w:gridCol w:w="1276"/>
        <w:gridCol w:w="1276"/>
        <w:gridCol w:w="1559"/>
      </w:tblGrid>
      <w:tr w:rsidR="00207D2E" w:rsidRPr="00FA14B1" w:rsidTr="00207D2E">
        <w:trPr>
          <w:trHeight w:val="828"/>
        </w:trPr>
        <w:tc>
          <w:tcPr>
            <w:tcW w:w="993" w:type="dxa"/>
            <w:tcBorders>
              <w:top w:val="single" w:sz="4" w:space="0" w:color="000000"/>
              <w:left w:val="nil"/>
              <w:bottom w:val="single" w:sz="4" w:space="0" w:color="auto"/>
              <w:right w:val="nil"/>
            </w:tcBorders>
            <w:shd w:val="clear" w:color="auto" w:fill="auto"/>
            <w:vAlign w:val="bottom"/>
            <w:hideMark/>
          </w:tcPr>
          <w:p w:rsidR="00207D2E" w:rsidRPr="00FA14B1" w:rsidRDefault="00207D2E" w:rsidP="00AE5F4B">
            <w:pPr>
              <w:spacing w:line="480" w:lineRule="auto"/>
              <w:jc w:val="both"/>
              <w:rPr>
                <w:b/>
                <w:bCs/>
                <w:color w:val="000000" w:themeColor="text1"/>
                <w:sz w:val="20"/>
                <w:szCs w:val="20"/>
                <w:lang w:val="en-US"/>
              </w:rPr>
            </w:pPr>
            <w:r w:rsidRPr="00FA14B1">
              <w:rPr>
                <w:b/>
                <w:bCs/>
                <w:color w:val="000000" w:themeColor="text1"/>
                <w:sz w:val="20"/>
                <w:szCs w:val="20"/>
                <w:lang w:val="en-US"/>
              </w:rPr>
              <w:t>Size Interval</w:t>
            </w:r>
          </w:p>
        </w:tc>
        <w:tc>
          <w:tcPr>
            <w:tcW w:w="992" w:type="dxa"/>
            <w:tcBorders>
              <w:top w:val="single" w:sz="4" w:space="0" w:color="000000"/>
              <w:left w:val="nil"/>
              <w:bottom w:val="single" w:sz="4" w:space="0" w:color="auto"/>
              <w:right w:val="nil"/>
            </w:tcBorders>
            <w:vAlign w:val="bottom"/>
          </w:tcPr>
          <w:p w:rsidR="00207D2E" w:rsidRPr="00FA14B1" w:rsidRDefault="00207D2E" w:rsidP="00AE5F4B">
            <w:pPr>
              <w:spacing w:line="480" w:lineRule="auto"/>
              <w:jc w:val="both"/>
              <w:rPr>
                <w:b/>
                <w:bCs/>
                <w:color w:val="000000" w:themeColor="text1"/>
                <w:sz w:val="20"/>
                <w:szCs w:val="20"/>
                <w:lang w:val="en-US"/>
              </w:rPr>
            </w:pPr>
            <w:r w:rsidRPr="00FA14B1">
              <w:rPr>
                <w:b/>
                <w:bCs/>
                <w:color w:val="000000" w:themeColor="text1"/>
                <w:sz w:val="20"/>
                <w:szCs w:val="20"/>
                <w:lang w:val="en-US"/>
              </w:rPr>
              <w:t>Body mass (g)</w:t>
            </w:r>
          </w:p>
        </w:tc>
        <w:tc>
          <w:tcPr>
            <w:tcW w:w="992" w:type="dxa"/>
            <w:gridSpan w:val="2"/>
            <w:tcBorders>
              <w:top w:val="single" w:sz="4" w:space="0" w:color="000000"/>
              <w:left w:val="nil"/>
              <w:bottom w:val="single" w:sz="4" w:space="0" w:color="auto"/>
              <w:right w:val="nil"/>
            </w:tcBorders>
            <w:shd w:val="clear" w:color="auto" w:fill="auto"/>
            <w:vAlign w:val="bottom"/>
            <w:hideMark/>
          </w:tcPr>
          <w:p w:rsidR="00207D2E" w:rsidRPr="00FA14B1" w:rsidRDefault="00207D2E" w:rsidP="00AE5F4B">
            <w:pPr>
              <w:spacing w:line="480" w:lineRule="auto"/>
              <w:jc w:val="both"/>
              <w:rPr>
                <w:b/>
                <w:bCs/>
                <w:color w:val="000000" w:themeColor="text1"/>
                <w:sz w:val="20"/>
                <w:szCs w:val="20"/>
                <w:lang w:val="en-US"/>
              </w:rPr>
            </w:pPr>
            <w:r w:rsidRPr="00FA14B1">
              <w:rPr>
                <w:b/>
                <w:bCs/>
                <w:color w:val="000000" w:themeColor="text1"/>
                <w:sz w:val="20"/>
                <w:szCs w:val="20"/>
                <w:lang w:val="en-US"/>
              </w:rPr>
              <w:t>Interval Width</w:t>
            </w:r>
          </w:p>
        </w:tc>
        <w:tc>
          <w:tcPr>
            <w:tcW w:w="1134" w:type="dxa"/>
            <w:tcBorders>
              <w:top w:val="single" w:sz="4" w:space="0" w:color="000000"/>
              <w:left w:val="nil"/>
              <w:bottom w:val="single" w:sz="4" w:space="0" w:color="auto"/>
              <w:right w:val="nil"/>
            </w:tcBorders>
            <w:shd w:val="clear" w:color="auto" w:fill="auto"/>
            <w:vAlign w:val="bottom"/>
            <w:hideMark/>
          </w:tcPr>
          <w:p w:rsidR="00207D2E" w:rsidRPr="00FA14B1" w:rsidRDefault="00207D2E" w:rsidP="00AE5F4B">
            <w:pPr>
              <w:spacing w:line="480" w:lineRule="auto"/>
              <w:jc w:val="both"/>
              <w:rPr>
                <w:b/>
                <w:bCs/>
                <w:color w:val="000000" w:themeColor="text1"/>
                <w:sz w:val="20"/>
                <w:szCs w:val="20"/>
                <w:lang w:val="en-US"/>
              </w:rPr>
            </w:pPr>
            <w:r w:rsidRPr="00FA14B1">
              <w:rPr>
                <w:b/>
                <w:bCs/>
                <w:color w:val="000000" w:themeColor="text1"/>
                <w:sz w:val="20"/>
                <w:szCs w:val="20"/>
                <w:lang w:val="en-US"/>
              </w:rPr>
              <w:t>Size Range (g)</w:t>
            </w:r>
          </w:p>
        </w:tc>
        <w:tc>
          <w:tcPr>
            <w:tcW w:w="1276" w:type="dxa"/>
            <w:tcBorders>
              <w:top w:val="single" w:sz="4" w:space="0" w:color="000000"/>
              <w:left w:val="nil"/>
              <w:bottom w:val="single" w:sz="4" w:space="0" w:color="auto"/>
              <w:right w:val="nil"/>
            </w:tcBorders>
            <w:shd w:val="clear" w:color="auto" w:fill="auto"/>
            <w:vAlign w:val="bottom"/>
            <w:hideMark/>
          </w:tcPr>
          <w:p w:rsidR="00207D2E" w:rsidRPr="00FA14B1" w:rsidRDefault="00207D2E" w:rsidP="00AE5F4B">
            <w:pPr>
              <w:spacing w:line="480" w:lineRule="auto"/>
              <w:jc w:val="both"/>
              <w:rPr>
                <w:b/>
                <w:bCs/>
                <w:color w:val="000000" w:themeColor="text1"/>
                <w:sz w:val="20"/>
                <w:szCs w:val="20"/>
                <w:lang w:val="en-US"/>
              </w:rPr>
            </w:pPr>
            <w:r w:rsidRPr="00FA14B1">
              <w:rPr>
                <w:b/>
                <w:bCs/>
                <w:color w:val="000000" w:themeColor="text1"/>
                <w:sz w:val="20"/>
                <w:szCs w:val="20"/>
                <w:lang w:val="en-US"/>
              </w:rPr>
              <w:t>Proportion of lakes</w:t>
            </w:r>
          </w:p>
        </w:tc>
        <w:tc>
          <w:tcPr>
            <w:tcW w:w="850" w:type="dxa"/>
            <w:tcBorders>
              <w:top w:val="single" w:sz="4" w:space="0" w:color="000000"/>
              <w:left w:val="nil"/>
              <w:bottom w:val="single" w:sz="4" w:space="0" w:color="auto"/>
              <w:right w:val="nil"/>
            </w:tcBorders>
            <w:shd w:val="clear" w:color="auto" w:fill="auto"/>
            <w:vAlign w:val="bottom"/>
            <w:hideMark/>
          </w:tcPr>
          <w:p w:rsidR="00207D2E" w:rsidRPr="00FA14B1" w:rsidRDefault="00207D2E" w:rsidP="00AE5F4B">
            <w:pPr>
              <w:spacing w:line="480" w:lineRule="auto"/>
              <w:jc w:val="both"/>
              <w:rPr>
                <w:b/>
                <w:bCs/>
                <w:color w:val="000000" w:themeColor="text1"/>
                <w:sz w:val="20"/>
                <w:szCs w:val="20"/>
                <w:lang w:val="en-US"/>
              </w:rPr>
            </w:pPr>
            <w:r w:rsidRPr="00FA14B1">
              <w:rPr>
                <w:b/>
                <w:bCs/>
                <w:color w:val="000000" w:themeColor="text1"/>
                <w:sz w:val="20"/>
                <w:szCs w:val="20"/>
                <w:lang w:val="en-US"/>
              </w:rPr>
              <w:t>BPUE</w:t>
            </w:r>
          </w:p>
        </w:tc>
        <w:tc>
          <w:tcPr>
            <w:tcW w:w="1276" w:type="dxa"/>
            <w:tcBorders>
              <w:top w:val="single" w:sz="4" w:space="0" w:color="000000"/>
              <w:left w:val="nil"/>
              <w:bottom w:val="single" w:sz="4" w:space="0" w:color="auto"/>
              <w:right w:val="nil"/>
            </w:tcBorders>
            <w:shd w:val="clear" w:color="auto" w:fill="auto"/>
            <w:vAlign w:val="bottom"/>
            <w:hideMark/>
          </w:tcPr>
          <w:p w:rsidR="00207D2E" w:rsidRPr="00FA14B1" w:rsidRDefault="00207D2E" w:rsidP="00AE5F4B">
            <w:pPr>
              <w:spacing w:line="480" w:lineRule="auto"/>
              <w:jc w:val="both"/>
              <w:rPr>
                <w:b/>
                <w:bCs/>
                <w:color w:val="000000" w:themeColor="text1"/>
                <w:sz w:val="20"/>
                <w:szCs w:val="20"/>
                <w:lang w:val="en-US"/>
              </w:rPr>
            </w:pPr>
            <w:r w:rsidRPr="00FA14B1">
              <w:rPr>
                <w:b/>
                <w:bCs/>
                <w:color w:val="000000" w:themeColor="text1"/>
                <w:sz w:val="20"/>
                <w:szCs w:val="20"/>
                <w:lang w:val="en-US"/>
              </w:rPr>
              <w:t>Selectivity</w:t>
            </w:r>
          </w:p>
        </w:tc>
        <w:tc>
          <w:tcPr>
            <w:tcW w:w="1276" w:type="dxa"/>
            <w:tcBorders>
              <w:top w:val="single" w:sz="4" w:space="0" w:color="000000"/>
              <w:left w:val="nil"/>
              <w:bottom w:val="single" w:sz="4" w:space="0" w:color="auto"/>
              <w:right w:val="nil"/>
            </w:tcBorders>
            <w:shd w:val="clear" w:color="auto" w:fill="auto"/>
            <w:vAlign w:val="bottom"/>
            <w:hideMark/>
          </w:tcPr>
          <w:p w:rsidR="00207D2E" w:rsidRPr="00FA14B1" w:rsidRDefault="00207D2E" w:rsidP="00AE5F4B">
            <w:pPr>
              <w:spacing w:line="480" w:lineRule="auto"/>
              <w:jc w:val="both"/>
              <w:rPr>
                <w:b/>
                <w:bCs/>
                <w:color w:val="000000" w:themeColor="text1"/>
                <w:sz w:val="20"/>
                <w:szCs w:val="20"/>
                <w:lang w:val="en-US"/>
              </w:rPr>
            </w:pPr>
            <w:r w:rsidRPr="00FA14B1">
              <w:rPr>
                <w:b/>
                <w:bCs/>
                <w:color w:val="000000" w:themeColor="text1"/>
                <w:sz w:val="20"/>
                <w:szCs w:val="20"/>
                <w:lang w:val="en-US"/>
              </w:rPr>
              <w:t>Corrected BPUE</w:t>
            </w:r>
          </w:p>
        </w:tc>
        <w:tc>
          <w:tcPr>
            <w:tcW w:w="1559" w:type="dxa"/>
            <w:tcBorders>
              <w:top w:val="single" w:sz="4" w:space="0" w:color="000000"/>
              <w:left w:val="nil"/>
              <w:bottom w:val="single" w:sz="4" w:space="0" w:color="auto"/>
              <w:right w:val="nil"/>
            </w:tcBorders>
            <w:shd w:val="clear" w:color="auto" w:fill="auto"/>
            <w:vAlign w:val="bottom"/>
            <w:hideMark/>
          </w:tcPr>
          <w:p w:rsidR="00207D2E" w:rsidRPr="00FA14B1" w:rsidRDefault="00207D2E" w:rsidP="00AE5F4B">
            <w:pPr>
              <w:spacing w:line="480" w:lineRule="auto"/>
              <w:jc w:val="both"/>
              <w:rPr>
                <w:b/>
                <w:bCs/>
                <w:color w:val="000000" w:themeColor="text1"/>
                <w:sz w:val="20"/>
                <w:szCs w:val="20"/>
                <w:lang w:val="en-US"/>
              </w:rPr>
            </w:pPr>
            <w:r w:rsidRPr="00FA14B1">
              <w:rPr>
                <w:b/>
                <w:bCs/>
                <w:color w:val="000000" w:themeColor="text1"/>
                <w:sz w:val="20"/>
                <w:szCs w:val="20"/>
                <w:lang w:val="en-US"/>
              </w:rPr>
              <w:t>Normalized Corrected BPUE</w:t>
            </w:r>
          </w:p>
        </w:tc>
      </w:tr>
      <w:tr w:rsidR="00207D2E" w:rsidRPr="00FA14B1" w:rsidTr="00207D2E">
        <w:trPr>
          <w:trHeight w:val="276"/>
        </w:trPr>
        <w:tc>
          <w:tcPr>
            <w:tcW w:w="993"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w:t>
            </w:r>
          </w:p>
        </w:tc>
        <w:tc>
          <w:tcPr>
            <w:tcW w:w="992" w:type="dxa"/>
            <w:tcBorders>
              <w:top w:val="nil"/>
              <w:left w:val="nil"/>
              <w:bottom w:val="nil"/>
              <w:right w:val="nil"/>
            </w:tcBorders>
            <w:vAlign w:val="center"/>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2</w:t>
            </w:r>
          </w:p>
        </w:tc>
        <w:tc>
          <w:tcPr>
            <w:tcW w:w="70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2</w:t>
            </w:r>
          </w:p>
        </w:tc>
        <w:tc>
          <w:tcPr>
            <w:tcW w:w="1417" w:type="dxa"/>
            <w:gridSpan w:val="2"/>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2–4</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0.97</w:t>
            </w:r>
          </w:p>
        </w:tc>
        <w:tc>
          <w:tcPr>
            <w:tcW w:w="850"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0.08</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0.006</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13.34</w:t>
            </w:r>
          </w:p>
        </w:tc>
        <w:tc>
          <w:tcPr>
            <w:tcW w:w="155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6.6699</w:t>
            </w:r>
          </w:p>
        </w:tc>
      </w:tr>
      <w:tr w:rsidR="00207D2E" w:rsidRPr="00FA14B1" w:rsidTr="00207D2E">
        <w:trPr>
          <w:trHeight w:val="276"/>
        </w:trPr>
        <w:tc>
          <w:tcPr>
            <w:tcW w:w="993"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2</w:t>
            </w:r>
          </w:p>
        </w:tc>
        <w:tc>
          <w:tcPr>
            <w:tcW w:w="992" w:type="dxa"/>
            <w:tcBorders>
              <w:top w:val="nil"/>
              <w:left w:val="nil"/>
              <w:bottom w:val="nil"/>
              <w:right w:val="nil"/>
            </w:tcBorders>
            <w:vAlign w:val="center"/>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4</w:t>
            </w:r>
          </w:p>
        </w:tc>
        <w:tc>
          <w:tcPr>
            <w:tcW w:w="70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4</w:t>
            </w:r>
          </w:p>
        </w:tc>
        <w:tc>
          <w:tcPr>
            <w:tcW w:w="1417" w:type="dxa"/>
            <w:gridSpan w:val="2"/>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4–8</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0.99</w:t>
            </w:r>
          </w:p>
        </w:tc>
        <w:tc>
          <w:tcPr>
            <w:tcW w:w="850"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0.20</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0.016</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12.07</w:t>
            </w:r>
          </w:p>
        </w:tc>
        <w:tc>
          <w:tcPr>
            <w:tcW w:w="155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3.0165</w:t>
            </w:r>
          </w:p>
        </w:tc>
      </w:tr>
      <w:tr w:rsidR="00207D2E" w:rsidRPr="00FA14B1" w:rsidTr="00207D2E">
        <w:trPr>
          <w:trHeight w:val="276"/>
        </w:trPr>
        <w:tc>
          <w:tcPr>
            <w:tcW w:w="993"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3</w:t>
            </w:r>
          </w:p>
        </w:tc>
        <w:tc>
          <w:tcPr>
            <w:tcW w:w="992" w:type="dxa"/>
            <w:tcBorders>
              <w:top w:val="nil"/>
              <w:left w:val="nil"/>
              <w:bottom w:val="nil"/>
              <w:right w:val="nil"/>
            </w:tcBorders>
            <w:vAlign w:val="center"/>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8</w:t>
            </w:r>
          </w:p>
        </w:tc>
        <w:tc>
          <w:tcPr>
            <w:tcW w:w="70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8</w:t>
            </w:r>
          </w:p>
        </w:tc>
        <w:tc>
          <w:tcPr>
            <w:tcW w:w="1417" w:type="dxa"/>
            <w:gridSpan w:val="2"/>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8–16</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1.00</w:t>
            </w:r>
          </w:p>
        </w:tc>
        <w:tc>
          <w:tcPr>
            <w:tcW w:w="850"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0.41</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0.034</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12.08</w:t>
            </w:r>
          </w:p>
        </w:tc>
        <w:tc>
          <w:tcPr>
            <w:tcW w:w="155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1.5099</w:t>
            </w:r>
          </w:p>
        </w:tc>
      </w:tr>
      <w:tr w:rsidR="00207D2E" w:rsidRPr="00FA14B1" w:rsidTr="00207D2E">
        <w:trPr>
          <w:trHeight w:val="276"/>
        </w:trPr>
        <w:tc>
          <w:tcPr>
            <w:tcW w:w="993"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4</w:t>
            </w:r>
          </w:p>
        </w:tc>
        <w:tc>
          <w:tcPr>
            <w:tcW w:w="992" w:type="dxa"/>
            <w:tcBorders>
              <w:top w:val="nil"/>
              <w:left w:val="nil"/>
              <w:bottom w:val="nil"/>
              <w:right w:val="nil"/>
            </w:tcBorders>
            <w:vAlign w:val="center"/>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16</w:t>
            </w:r>
          </w:p>
        </w:tc>
        <w:tc>
          <w:tcPr>
            <w:tcW w:w="70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16</w:t>
            </w:r>
          </w:p>
        </w:tc>
        <w:tc>
          <w:tcPr>
            <w:tcW w:w="1417" w:type="dxa"/>
            <w:gridSpan w:val="2"/>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16–32</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1.00</w:t>
            </w:r>
          </w:p>
        </w:tc>
        <w:tc>
          <w:tcPr>
            <w:tcW w:w="850"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0.57</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0.072</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7.92</w:t>
            </w:r>
          </w:p>
        </w:tc>
        <w:tc>
          <w:tcPr>
            <w:tcW w:w="155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0.4953</w:t>
            </w:r>
          </w:p>
        </w:tc>
      </w:tr>
      <w:tr w:rsidR="00207D2E" w:rsidRPr="00FA14B1" w:rsidTr="00207D2E">
        <w:trPr>
          <w:trHeight w:val="276"/>
        </w:trPr>
        <w:tc>
          <w:tcPr>
            <w:tcW w:w="993"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5</w:t>
            </w:r>
          </w:p>
        </w:tc>
        <w:tc>
          <w:tcPr>
            <w:tcW w:w="992" w:type="dxa"/>
            <w:tcBorders>
              <w:top w:val="nil"/>
              <w:left w:val="nil"/>
              <w:bottom w:val="nil"/>
              <w:right w:val="nil"/>
            </w:tcBorders>
            <w:vAlign w:val="center"/>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32</w:t>
            </w:r>
          </w:p>
        </w:tc>
        <w:tc>
          <w:tcPr>
            <w:tcW w:w="70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32</w:t>
            </w:r>
          </w:p>
        </w:tc>
        <w:tc>
          <w:tcPr>
            <w:tcW w:w="1417" w:type="dxa"/>
            <w:gridSpan w:val="2"/>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32–64</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1.00</w:t>
            </w:r>
          </w:p>
        </w:tc>
        <w:tc>
          <w:tcPr>
            <w:tcW w:w="850"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0.90</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0.136</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6.61</w:t>
            </w:r>
          </w:p>
        </w:tc>
        <w:tc>
          <w:tcPr>
            <w:tcW w:w="155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0.2065</w:t>
            </w:r>
          </w:p>
        </w:tc>
      </w:tr>
      <w:tr w:rsidR="00207D2E" w:rsidRPr="00FA14B1" w:rsidTr="00207D2E">
        <w:trPr>
          <w:trHeight w:val="276"/>
        </w:trPr>
        <w:tc>
          <w:tcPr>
            <w:tcW w:w="993"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6</w:t>
            </w:r>
          </w:p>
        </w:tc>
        <w:tc>
          <w:tcPr>
            <w:tcW w:w="992" w:type="dxa"/>
            <w:tcBorders>
              <w:top w:val="nil"/>
              <w:left w:val="nil"/>
              <w:bottom w:val="nil"/>
              <w:right w:val="nil"/>
            </w:tcBorders>
            <w:vAlign w:val="center"/>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64</w:t>
            </w:r>
          </w:p>
        </w:tc>
        <w:tc>
          <w:tcPr>
            <w:tcW w:w="70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64</w:t>
            </w:r>
          </w:p>
        </w:tc>
        <w:tc>
          <w:tcPr>
            <w:tcW w:w="1417" w:type="dxa"/>
            <w:gridSpan w:val="2"/>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64–128</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1.00</w:t>
            </w:r>
          </w:p>
        </w:tc>
        <w:tc>
          <w:tcPr>
            <w:tcW w:w="850"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1.33</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0.227</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5.84</w:t>
            </w:r>
          </w:p>
        </w:tc>
        <w:tc>
          <w:tcPr>
            <w:tcW w:w="155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0.0913</w:t>
            </w:r>
          </w:p>
        </w:tc>
      </w:tr>
      <w:tr w:rsidR="00207D2E" w:rsidRPr="00FA14B1" w:rsidTr="00207D2E">
        <w:trPr>
          <w:trHeight w:val="276"/>
        </w:trPr>
        <w:tc>
          <w:tcPr>
            <w:tcW w:w="993"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7</w:t>
            </w:r>
          </w:p>
        </w:tc>
        <w:tc>
          <w:tcPr>
            <w:tcW w:w="992" w:type="dxa"/>
            <w:tcBorders>
              <w:top w:val="nil"/>
              <w:left w:val="nil"/>
              <w:bottom w:val="nil"/>
              <w:right w:val="nil"/>
            </w:tcBorders>
            <w:vAlign w:val="center"/>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128</w:t>
            </w:r>
          </w:p>
        </w:tc>
        <w:tc>
          <w:tcPr>
            <w:tcW w:w="70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128</w:t>
            </w:r>
          </w:p>
        </w:tc>
        <w:tc>
          <w:tcPr>
            <w:tcW w:w="1417" w:type="dxa"/>
            <w:gridSpan w:val="2"/>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128–256</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0.99</w:t>
            </w:r>
          </w:p>
        </w:tc>
        <w:tc>
          <w:tcPr>
            <w:tcW w:w="850"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1.46</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0.257</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5.68</w:t>
            </w:r>
          </w:p>
        </w:tc>
        <w:tc>
          <w:tcPr>
            <w:tcW w:w="155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0.0444</w:t>
            </w:r>
          </w:p>
        </w:tc>
      </w:tr>
      <w:tr w:rsidR="00207D2E" w:rsidRPr="00FA14B1" w:rsidTr="00207D2E">
        <w:trPr>
          <w:trHeight w:val="276"/>
        </w:trPr>
        <w:tc>
          <w:tcPr>
            <w:tcW w:w="993"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8</w:t>
            </w:r>
          </w:p>
        </w:tc>
        <w:tc>
          <w:tcPr>
            <w:tcW w:w="992" w:type="dxa"/>
            <w:tcBorders>
              <w:top w:val="nil"/>
              <w:left w:val="nil"/>
              <w:bottom w:val="nil"/>
              <w:right w:val="nil"/>
            </w:tcBorders>
            <w:vAlign w:val="center"/>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256</w:t>
            </w:r>
          </w:p>
        </w:tc>
        <w:tc>
          <w:tcPr>
            <w:tcW w:w="70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256</w:t>
            </w:r>
          </w:p>
        </w:tc>
        <w:tc>
          <w:tcPr>
            <w:tcW w:w="1417" w:type="dxa"/>
            <w:gridSpan w:val="2"/>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256–512</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0.99</w:t>
            </w:r>
          </w:p>
        </w:tc>
        <w:tc>
          <w:tcPr>
            <w:tcW w:w="850"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2.90</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0.407</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7.13</w:t>
            </w:r>
          </w:p>
        </w:tc>
        <w:tc>
          <w:tcPr>
            <w:tcW w:w="155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0.0278</w:t>
            </w:r>
          </w:p>
        </w:tc>
      </w:tr>
      <w:tr w:rsidR="00207D2E" w:rsidRPr="00FA14B1" w:rsidTr="00207D2E">
        <w:trPr>
          <w:trHeight w:val="276"/>
        </w:trPr>
        <w:tc>
          <w:tcPr>
            <w:tcW w:w="993"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9</w:t>
            </w:r>
          </w:p>
        </w:tc>
        <w:tc>
          <w:tcPr>
            <w:tcW w:w="992" w:type="dxa"/>
            <w:tcBorders>
              <w:top w:val="nil"/>
              <w:left w:val="nil"/>
              <w:bottom w:val="nil"/>
              <w:right w:val="nil"/>
            </w:tcBorders>
            <w:vAlign w:val="center"/>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512</w:t>
            </w:r>
          </w:p>
        </w:tc>
        <w:tc>
          <w:tcPr>
            <w:tcW w:w="70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512</w:t>
            </w:r>
          </w:p>
        </w:tc>
        <w:tc>
          <w:tcPr>
            <w:tcW w:w="1417" w:type="dxa"/>
            <w:gridSpan w:val="2"/>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512–1024</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1.00</w:t>
            </w:r>
          </w:p>
        </w:tc>
        <w:tc>
          <w:tcPr>
            <w:tcW w:w="850"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7.27</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0.582</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12.49</w:t>
            </w:r>
          </w:p>
        </w:tc>
        <w:tc>
          <w:tcPr>
            <w:tcW w:w="155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0.0244</w:t>
            </w:r>
          </w:p>
        </w:tc>
      </w:tr>
      <w:tr w:rsidR="00207D2E" w:rsidRPr="00FA14B1" w:rsidTr="00207D2E">
        <w:trPr>
          <w:trHeight w:val="276"/>
        </w:trPr>
        <w:tc>
          <w:tcPr>
            <w:tcW w:w="993"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10</w:t>
            </w:r>
          </w:p>
        </w:tc>
        <w:tc>
          <w:tcPr>
            <w:tcW w:w="992" w:type="dxa"/>
            <w:tcBorders>
              <w:top w:val="nil"/>
              <w:left w:val="nil"/>
              <w:bottom w:val="nil"/>
              <w:right w:val="nil"/>
            </w:tcBorders>
            <w:vAlign w:val="center"/>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1,024</w:t>
            </w:r>
          </w:p>
        </w:tc>
        <w:tc>
          <w:tcPr>
            <w:tcW w:w="70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1,024</w:t>
            </w:r>
          </w:p>
        </w:tc>
        <w:tc>
          <w:tcPr>
            <w:tcW w:w="1417" w:type="dxa"/>
            <w:gridSpan w:val="2"/>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1,024–2,048</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0.98</w:t>
            </w:r>
          </w:p>
        </w:tc>
        <w:tc>
          <w:tcPr>
            <w:tcW w:w="850"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9.66</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0.794</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12.17</w:t>
            </w:r>
          </w:p>
        </w:tc>
        <w:tc>
          <w:tcPr>
            <w:tcW w:w="155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0.0119</w:t>
            </w:r>
          </w:p>
        </w:tc>
      </w:tr>
      <w:tr w:rsidR="00207D2E" w:rsidRPr="00FA14B1" w:rsidTr="00207D2E">
        <w:trPr>
          <w:trHeight w:val="276"/>
        </w:trPr>
        <w:tc>
          <w:tcPr>
            <w:tcW w:w="993"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11</w:t>
            </w:r>
          </w:p>
        </w:tc>
        <w:tc>
          <w:tcPr>
            <w:tcW w:w="992" w:type="dxa"/>
            <w:tcBorders>
              <w:top w:val="nil"/>
              <w:left w:val="nil"/>
              <w:bottom w:val="nil"/>
              <w:right w:val="nil"/>
            </w:tcBorders>
            <w:vAlign w:val="center"/>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2,048</w:t>
            </w:r>
          </w:p>
        </w:tc>
        <w:tc>
          <w:tcPr>
            <w:tcW w:w="70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2,048</w:t>
            </w:r>
          </w:p>
        </w:tc>
        <w:tc>
          <w:tcPr>
            <w:tcW w:w="1417" w:type="dxa"/>
            <w:gridSpan w:val="2"/>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2,048–4,096</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0.86</w:t>
            </w:r>
          </w:p>
        </w:tc>
        <w:tc>
          <w:tcPr>
            <w:tcW w:w="850"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3.71</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0.940</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3.94</w:t>
            </w:r>
          </w:p>
        </w:tc>
        <w:tc>
          <w:tcPr>
            <w:tcW w:w="155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0.0019</w:t>
            </w:r>
          </w:p>
        </w:tc>
      </w:tr>
      <w:tr w:rsidR="00207D2E" w:rsidRPr="00FA14B1" w:rsidTr="00207D2E">
        <w:trPr>
          <w:trHeight w:val="276"/>
        </w:trPr>
        <w:tc>
          <w:tcPr>
            <w:tcW w:w="993"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*12</w:t>
            </w:r>
          </w:p>
        </w:tc>
        <w:tc>
          <w:tcPr>
            <w:tcW w:w="992" w:type="dxa"/>
            <w:tcBorders>
              <w:top w:val="nil"/>
              <w:left w:val="nil"/>
              <w:bottom w:val="nil"/>
              <w:right w:val="nil"/>
            </w:tcBorders>
            <w:vAlign w:val="center"/>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4,096</w:t>
            </w:r>
          </w:p>
        </w:tc>
        <w:tc>
          <w:tcPr>
            <w:tcW w:w="70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4,096</w:t>
            </w:r>
          </w:p>
        </w:tc>
        <w:tc>
          <w:tcPr>
            <w:tcW w:w="1417" w:type="dxa"/>
            <w:gridSpan w:val="2"/>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4,096–8,192</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0.39</w:t>
            </w:r>
          </w:p>
        </w:tc>
        <w:tc>
          <w:tcPr>
            <w:tcW w:w="850"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1.73</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0.691</w:t>
            </w:r>
          </w:p>
        </w:tc>
        <w:tc>
          <w:tcPr>
            <w:tcW w:w="1276"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2.50</w:t>
            </w:r>
          </w:p>
        </w:tc>
        <w:tc>
          <w:tcPr>
            <w:tcW w:w="1559" w:type="dxa"/>
            <w:tcBorders>
              <w:top w:val="nil"/>
              <w:left w:val="nil"/>
              <w:bottom w:val="nil"/>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0.0006</w:t>
            </w:r>
          </w:p>
        </w:tc>
      </w:tr>
      <w:tr w:rsidR="00207D2E" w:rsidRPr="00FA14B1" w:rsidTr="00207D2E">
        <w:trPr>
          <w:trHeight w:val="276"/>
        </w:trPr>
        <w:tc>
          <w:tcPr>
            <w:tcW w:w="993" w:type="dxa"/>
            <w:tcBorders>
              <w:top w:val="nil"/>
              <w:left w:val="nil"/>
              <w:bottom w:val="single" w:sz="4" w:space="0" w:color="auto"/>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lastRenderedPageBreak/>
              <w:t>*13</w:t>
            </w:r>
          </w:p>
        </w:tc>
        <w:tc>
          <w:tcPr>
            <w:tcW w:w="992" w:type="dxa"/>
            <w:tcBorders>
              <w:top w:val="nil"/>
              <w:left w:val="nil"/>
              <w:bottom w:val="single" w:sz="4" w:space="0" w:color="auto"/>
              <w:right w:val="nil"/>
            </w:tcBorders>
            <w:vAlign w:val="center"/>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8,192</w:t>
            </w:r>
          </w:p>
        </w:tc>
        <w:tc>
          <w:tcPr>
            <w:tcW w:w="709" w:type="dxa"/>
            <w:tcBorders>
              <w:top w:val="nil"/>
              <w:left w:val="nil"/>
              <w:bottom w:val="single" w:sz="4" w:space="0" w:color="auto"/>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8,192</w:t>
            </w:r>
          </w:p>
        </w:tc>
        <w:tc>
          <w:tcPr>
            <w:tcW w:w="1417" w:type="dxa"/>
            <w:gridSpan w:val="2"/>
            <w:tcBorders>
              <w:top w:val="nil"/>
              <w:left w:val="nil"/>
              <w:bottom w:val="single" w:sz="4" w:space="0" w:color="auto"/>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8,192–16,384</w:t>
            </w:r>
          </w:p>
        </w:tc>
        <w:tc>
          <w:tcPr>
            <w:tcW w:w="1276" w:type="dxa"/>
            <w:tcBorders>
              <w:top w:val="nil"/>
              <w:left w:val="nil"/>
              <w:bottom w:val="single" w:sz="4" w:space="0" w:color="auto"/>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0.04</w:t>
            </w:r>
          </w:p>
        </w:tc>
        <w:tc>
          <w:tcPr>
            <w:tcW w:w="850" w:type="dxa"/>
            <w:tcBorders>
              <w:top w:val="nil"/>
              <w:left w:val="nil"/>
              <w:bottom w:val="single" w:sz="4" w:space="0" w:color="auto"/>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1.84</w:t>
            </w:r>
          </w:p>
        </w:tc>
        <w:tc>
          <w:tcPr>
            <w:tcW w:w="1276" w:type="dxa"/>
            <w:tcBorders>
              <w:top w:val="nil"/>
              <w:left w:val="nil"/>
              <w:bottom w:val="single" w:sz="4" w:space="0" w:color="auto"/>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0.771</w:t>
            </w:r>
          </w:p>
        </w:tc>
        <w:tc>
          <w:tcPr>
            <w:tcW w:w="1276" w:type="dxa"/>
            <w:tcBorders>
              <w:top w:val="nil"/>
              <w:left w:val="nil"/>
              <w:bottom w:val="single" w:sz="4" w:space="0" w:color="auto"/>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2.39</w:t>
            </w:r>
          </w:p>
        </w:tc>
        <w:tc>
          <w:tcPr>
            <w:tcW w:w="1559" w:type="dxa"/>
            <w:tcBorders>
              <w:top w:val="nil"/>
              <w:left w:val="nil"/>
              <w:bottom w:val="single" w:sz="4" w:space="0" w:color="auto"/>
              <w:right w:val="nil"/>
            </w:tcBorders>
            <w:shd w:val="clear" w:color="auto" w:fill="auto"/>
            <w:vAlign w:val="center"/>
            <w:hideMark/>
          </w:tcPr>
          <w:p w:rsidR="00207D2E" w:rsidRPr="00FA14B1" w:rsidRDefault="00207D2E" w:rsidP="00AE5F4B">
            <w:pPr>
              <w:spacing w:line="480" w:lineRule="auto"/>
              <w:jc w:val="both"/>
              <w:rPr>
                <w:color w:val="000000" w:themeColor="text1"/>
                <w:sz w:val="20"/>
                <w:szCs w:val="20"/>
                <w:lang w:val="en-US"/>
              </w:rPr>
            </w:pPr>
            <w:r w:rsidRPr="00FA14B1">
              <w:rPr>
                <w:color w:val="000000" w:themeColor="text1"/>
                <w:sz w:val="20"/>
                <w:szCs w:val="20"/>
                <w:lang w:val="en-US"/>
              </w:rPr>
              <w:t>0.0003</w:t>
            </w:r>
          </w:p>
        </w:tc>
      </w:tr>
    </w:tbl>
    <w:p w:rsidR="00207D2E" w:rsidRPr="00FA14B1" w:rsidRDefault="00207D2E" w:rsidP="00207D2E">
      <w:pPr>
        <w:spacing w:line="480" w:lineRule="auto"/>
        <w:jc w:val="both"/>
        <w:rPr>
          <w:b/>
          <w:color w:val="000000" w:themeColor="text1"/>
          <w:lang w:val="en-US"/>
        </w:rPr>
      </w:pPr>
      <w:r w:rsidRPr="00FA14B1">
        <w:rPr>
          <w:noProof/>
          <w:color w:val="000000" w:themeColor="text1"/>
          <w:lang w:val="en-US"/>
        </w:rPr>
        <w:drawing>
          <wp:inline distT="0" distB="0" distL="0" distR="0" wp14:anchorId="10321810" wp14:editId="6CD1C7D8">
            <wp:extent cx="4953600" cy="383040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3600" cy="3830400"/>
                    </a:xfrm>
                    <a:prstGeom prst="rect">
                      <a:avLst/>
                    </a:prstGeom>
                    <a:noFill/>
                    <a:ln>
                      <a:noFill/>
                    </a:ln>
                  </pic:spPr>
                </pic:pic>
              </a:graphicData>
            </a:graphic>
          </wp:inline>
        </w:drawing>
      </w:r>
    </w:p>
    <w:p w:rsidR="00207D2E" w:rsidRPr="00FA14B1" w:rsidRDefault="00207D2E" w:rsidP="00207D2E">
      <w:pPr>
        <w:spacing w:line="480" w:lineRule="auto"/>
        <w:jc w:val="both"/>
        <w:rPr>
          <w:color w:val="000000" w:themeColor="text1"/>
          <w:lang w:val="en-US"/>
        </w:rPr>
      </w:pPr>
      <w:r w:rsidRPr="00FA14B1">
        <w:rPr>
          <w:b/>
          <w:color w:val="000000" w:themeColor="text1"/>
          <w:lang w:val="en-US"/>
        </w:rPr>
        <w:t>Figure S1.</w:t>
      </w:r>
      <w:r w:rsidRPr="00FA14B1">
        <w:rPr>
          <w:color w:val="000000" w:themeColor="text1"/>
          <w:lang w:val="en-US"/>
        </w:rPr>
        <w:t xml:space="preserve"> Demonstration of how the slope </w:t>
      </w:r>
      <w:r w:rsidRPr="00207D2E">
        <w:rPr>
          <w:color w:val="000000" w:themeColor="text1"/>
          <w:lang w:val="en-US"/>
        </w:rPr>
        <w:t>of the Normalized Biomass Size Spectrum slope estimated by regression. This example uses the data from Table S1 of Appendix S5. The slope was estimated for log</w:t>
      </w:r>
      <w:r w:rsidRPr="00207D2E">
        <w:rPr>
          <w:color w:val="000000" w:themeColor="text1"/>
          <w:vertAlign w:val="subscript"/>
          <w:lang w:val="en-US"/>
        </w:rPr>
        <w:t>2</w:t>
      </w:r>
      <w:r w:rsidRPr="00207D2E">
        <w:rPr>
          <w:color w:val="000000" w:themeColor="text1"/>
          <w:lang w:val="en-US"/>
        </w:rPr>
        <w:t>(Body mass) between 2 and 11 size classes (</w:t>
      </w:r>
      <w:r w:rsidRPr="00FA14B1">
        <w:rPr>
          <w:color w:val="000000" w:themeColor="text1"/>
          <w:lang w:val="en-US"/>
        </w:rPr>
        <w:t>i.e., a mass ranges from 4 to 4,096 g), a size range that existed in most lakes (i.e., over 98% of lakes contained fish in each size interval from 2 to 10 and 86% in 11). Larger size bins were excluded because fish larger than 4,096 g were caught in relatively few lakes (i.e., 39%).</w:t>
      </w:r>
      <w:r w:rsidRPr="00FA14B1">
        <w:rPr>
          <w:color w:val="000000" w:themeColor="text1"/>
          <w:lang w:val="en-US"/>
        </w:rPr>
        <w:br w:type="page"/>
      </w:r>
    </w:p>
    <w:p w:rsidR="00207D2E" w:rsidRPr="00FA14B1" w:rsidRDefault="00207D2E" w:rsidP="00207D2E">
      <w:pPr>
        <w:spacing w:line="480" w:lineRule="auto"/>
        <w:ind w:hanging="567"/>
        <w:jc w:val="both"/>
        <w:rPr>
          <w:b/>
          <w:color w:val="000000" w:themeColor="text1"/>
          <w:lang w:val="en-US"/>
        </w:rPr>
      </w:pPr>
      <w:r>
        <w:rPr>
          <w:b/>
          <w:noProof/>
          <w:color w:val="000000" w:themeColor="text1"/>
          <w:lang w:val="en-US"/>
        </w:rPr>
        <w:lastRenderedPageBreak/>
        <w:drawing>
          <wp:inline distT="0" distB="0" distL="0" distR="0" wp14:anchorId="46ECA5DA" wp14:editId="7FA363C0">
            <wp:extent cx="5943600" cy="63557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endix. individual lake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355715"/>
                    </a:xfrm>
                    <a:prstGeom prst="rect">
                      <a:avLst/>
                    </a:prstGeom>
                  </pic:spPr>
                </pic:pic>
              </a:graphicData>
            </a:graphic>
          </wp:inline>
        </w:drawing>
      </w:r>
    </w:p>
    <w:p w:rsidR="00207D2E" w:rsidRPr="00FA14B1" w:rsidRDefault="00207D2E" w:rsidP="00207D2E">
      <w:pPr>
        <w:spacing w:line="480" w:lineRule="auto"/>
        <w:jc w:val="both"/>
        <w:rPr>
          <w:color w:val="000000" w:themeColor="text1"/>
          <w:lang w:val="en-US"/>
        </w:rPr>
      </w:pPr>
      <w:r w:rsidRPr="00FA14B1">
        <w:rPr>
          <w:b/>
          <w:color w:val="000000" w:themeColor="text1"/>
          <w:lang w:val="en-US"/>
        </w:rPr>
        <w:t>Figure S2</w:t>
      </w:r>
      <w:r w:rsidRPr="00FA14B1">
        <w:rPr>
          <w:color w:val="000000" w:themeColor="text1"/>
          <w:lang w:val="en-US"/>
        </w:rPr>
        <w:t>. Examples of biomass-size distributions for six lakes. The normalized corrected BPUE (expressed in log</w:t>
      </w:r>
      <w:r w:rsidRPr="00FA14B1">
        <w:rPr>
          <w:color w:val="000000" w:themeColor="text1"/>
          <w:vertAlign w:val="subscript"/>
          <w:lang w:val="en-US"/>
        </w:rPr>
        <w:t>2</w:t>
      </w:r>
      <w:r w:rsidRPr="00FA14B1">
        <w:rPr>
          <w:color w:val="000000" w:themeColor="text1"/>
          <w:lang w:val="en-US"/>
        </w:rPr>
        <w:t xml:space="preserve"> units) is plotted against log</w:t>
      </w:r>
      <w:r w:rsidRPr="00FA14B1">
        <w:rPr>
          <w:color w:val="000000" w:themeColor="text1"/>
          <w:vertAlign w:val="subscript"/>
          <w:lang w:val="en-US"/>
        </w:rPr>
        <w:t>2</w:t>
      </w:r>
      <w:r w:rsidRPr="00FA14B1">
        <w:rPr>
          <w:color w:val="000000" w:themeColor="text1"/>
          <w:lang w:val="en-US"/>
        </w:rPr>
        <w:t>(body mass). Ordinary least squares (OLS) regression was done to estimate the slope.</w:t>
      </w:r>
    </w:p>
    <w:p w:rsidR="00207D2E" w:rsidRPr="00FA14B1" w:rsidRDefault="00207D2E" w:rsidP="00207D2E">
      <w:pPr>
        <w:spacing w:line="480" w:lineRule="auto"/>
        <w:ind w:hanging="567"/>
        <w:jc w:val="both"/>
        <w:rPr>
          <w:color w:val="000000" w:themeColor="text1"/>
          <w:lang w:val="en-US"/>
        </w:rPr>
      </w:pPr>
      <w:r w:rsidRPr="00FA14B1">
        <w:rPr>
          <w:noProof/>
          <w:color w:val="000000" w:themeColor="text1"/>
          <w:lang w:val="en-US"/>
        </w:rPr>
        <w:lastRenderedPageBreak/>
        <w:drawing>
          <wp:inline distT="0" distB="0" distL="0" distR="0" wp14:anchorId="3A36A87F" wp14:editId="5DEAF1C4">
            <wp:extent cx="6192000" cy="4899600"/>
            <wp:effectExtent l="0" t="0" r="0"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2000" cy="4899600"/>
                    </a:xfrm>
                    <a:prstGeom prst="rect">
                      <a:avLst/>
                    </a:prstGeom>
                    <a:noFill/>
                    <a:ln>
                      <a:noFill/>
                    </a:ln>
                  </pic:spPr>
                </pic:pic>
              </a:graphicData>
            </a:graphic>
          </wp:inline>
        </w:drawing>
      </w:r>
    </w:p>
    <w:p w:rsidR="00207D2E" w:rsidRPr="00FA14B1" w:rsidRDefault="00207D2E" w:rsidP="00207D2E">
      <w:pPr>
        <w:spacing w:line="480" w:lineRule="auto"/>
        <w:jc w:val="both"/>
        <w:rPr>
          <w:color w:val="000000" w:themeColor="text1"/>
          <w:lang w:val="en-US"/>
        </w:rPr>
      </w:pPr>
      <w:r w:rsidRPr="00FA14B1">
        <w:rPr>
          <w:b/>
          <w:bCs/>
          <w:color w:val="000000" w:themeColor="text1"/>
          <w:lang w:val="en-US"/>
        </w:rPr>
        <w:t xml:space="preserve">Figure S3. </w:t>
      </w:r>
      <w:r w:rsidRPr="00FA14B1">
        <w:rPr>
          <w:bCs/>
          <w:color w:val="000000" w:themeColor="text1"/>
          <w:lang w:val="en-US"/>
        </w:rPr>
        <w:t>Statistical</w:t>
      </w:r>
      <w:r w:rsidRPr="00FA14B1">
        <w:rPr>
          <w:b/>
          <w:bCs/>
          <w:color w:val="000000" w:themeColor="text1"/>
          <w:lang w:val="en-US"/>
        </w:rPr>
        <w:t xml:space="preserve"> </w:t>
      </w:r>
      <w:r w:rsidRPr="00FA14B1">
        <w:rPr>
          <w:color w:val="000000" w:themeColor="text1"/>
          <w:lang w:val="en-US"/>
        </w:rPr>
        <w:t>information related to the OLS estimates of the slope of the Normalized Biomass Spectrum for 639 lakes: (a) standard error of the slope versus estimated slope; (b) boxplot showing that the mean slope matches the theoretical expectation of slope = -1; (c) frequency distribution of the coefficient of determination (i.e., adjusted R</w:t>
      </w:r>
      <w:r w:rsidRPr="00FA14B1">
        <w:rPr>
          <w:color w:val="000000" w:themeColor="text1"/>
          <w:vertAlign w:val="superscript"/>
          <w:lang w:val="en-US"/>
        </w:rPr>
        <w:t>2</w:t>
      </w:r>
      <w:r w:rsidRPr="00FA14B1">
        <w:rPr>
          <w:color w:val="000000" w:themeColor="text1"/>
          <w:lang w:val="en-US"/>
        </w:rPr>
        <w:t>) from the regression analysis of each lake.</w:t>
      </w:r>
      <w:r w:rsidRPr="00FA14B1">
        <w:rPr>
          <w:color w:val="000000" w:themeColor="text1"/>
          <w:lang w:val="en-US"/>
        </w:rPr>
        <w:br w:type="page"/>
      </w:r>
    </w:p>
    <w:p w:rsidR="00207D2E" w:rsidRPr="00FA14B1" w:rsidRDefault="00207D2E" w:rsidP="00207D2E">
      <w:pPr>
        <w:spacing w:line="480" w:lineRule="auto"/>
        <w:ind w:left="360"/>
        <w:jc w:val="both"/>
        <w:rPr>
          <w:b/>
          <w:color w:val="000000" w:themeColor="text1"/>
          <w:lang w:val="en-US"/>
        </w:rPr>
      </w:pPr>
      <w:r w:rsidRPr="00FA14B1">
        <w:rPr>
          <w:noProof/>
          <w:color w:val="000000" w:themeColor="text1"/>
          <w:lang w:val="en-US"/>
        </w:rPr>
        <w:lastRenderedPageBreak/>
        <w:drawing>
          <wp:inline distT="0" distB="0" distL="0" distR="0" wp14:anchorId="1949E00C" wp14:editId="4224D8CB">
            <wp:extent cx="4582800" cy="3618000"/>
            <wp:effectExtent l="0" t="0" r="8255" b="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2800" cy="3618000"/>
                    </a:xfrm>
                    <a:prstGeom prst="rect">
                      <a:avLst/>
                    </a:prstGeom>
                    <a:noFill/>
                    <a:ln>
                      <a:noFill/>
                    </a:ln>
                  </pic:spPr>
                </pic:pic>
              </a:graphicData>
            </a:graphic>
          </wp:inline>
        </w:drawing>
      </w:r>
    </w:p>
    <w:p w:rsidR="00207D2E" w:rsidRPr="007526F0" w:rsidRDefault="00207D2E" w:rsidP="00207D2E">
      <w:pPr>
        <w:spacing w:line="480" w:lineRule="auto"/>
        <w:ind w:left="-709" w:firstLine="709"/>
        <w:jc w:val="both"/>
        <w:rPr>
          <w:color w:val="000000" w:themeColor="text1"/>
          <w:lang w:val="en-US"/>
        </w:rPr>
      </w:pPr>
      <w:r w:rsidRPr="00FA14B1">
        <w:rPr>
          <w:b/>
          <w:color w:val="000000" w:themeColor="text1"/>
          <w:lang w:val="en-US"/>
        </w:rPr>
        <w:t>Figure S4.</w:t>
      </w:r>
      <w:r w:rsidRPr="00FA14B1">
        <w:rPr>
          <w:bCs/>
          <w:color w:val="000000" w:themeColor="text1"/>
          <w:lang w:val="en-US"/>
        </w:rPr>
        <w:t xml:space="preserve"> Comparison of size spectrum slopes estimated by a Maximum likelihood method (MLE) and ordinary least squares (OLS). MLE slopes were calculated from the binned data but using a bounded method to fit the observations following Edwards et al. (2017).</w:t>
      </w:r>
      <w:r w:rsidRPr="00FA14B1">
        <w:rPr>
          <w:bCs/>
          <w:color w:val="000000" w:themeColor="text1"/>
          <w:lang w:val="en-US"/>
        </w:rPr>
        <w:br w:type="page"/>
      </w:r>
      <w:r w:rsidRPr="00FA14B1">
        <w:rPr>
          <w:b/>
          <w:bCs/>
          <w:color w:val="000000" w:themeColor="text1"/>
          <w:sz w:val="22"/>
          <w:szCs w:val="22"/>
          <w:bdr w:val="none" w:sz="0" w:space="0" w:color="auto" w:frame="1"/>
        </w:rPr>
        <w:lastRenderedPageBreak/>
        <w:fldChar w:fldCharType="begin"/>
      </w:r>
      <w:r w:rsidRPr="007526F0">
        <w:rPr>
          <w:b/>
          <w:bCs/>
          <w:color w:val="000000" w:themeColor="text1"/>
          <w:sz w:val="22"/>
          <w:szCs w:val="22"/>
          <w:bdr w:val="none" w:sz="0" w:space="0" w:color="auto" w:frame="1"/>
          <w:lang w:val="en-US"/>
        </w:rPr>
        <w:instrText xml:space="preserve"> INCLUDEPICTURE "https://lh5.googleusercontent.com/w6DR4FmKBKXZJ5pMtz74MvbG1yLBhUE1ELLDpNPaJKaVEMyEiHIOWBnsjO4Z6B6WhON_mF0tbqJ8xM-KhJ5IFZC3J75Hk0OStZ2vV_AZfff4zpdXx2Nv6n2bYcuTiQFDAjQmCoC0" \* MERGEFORMATINET </w:instrText>
      </w:r>
      <w:r w:rsidRPr="00FA14B1">
        <w:rPr>
          <w:b/>
          <w:bCs/>
          <w:color w:val="000000" w:themeColor="text1"/>
          <w:sz w:val="22"/>
          <w:szCs w:val="22"/>
          <w:bdr w:val="none" w:sz="0" w:space="0" w:color="auto" w:frame="1"/>
        </w:rPr>
        <w:fldChar w:fldCharType="separate"/>
      </w:r>
      <w:r w:rsidRPr="00FA14B1">
        <w:rPr>
          <w:b/>
          <w:bCs/>
          <w:noProof/>
          <w:color w:val="000000" w:themeColor="text1"/>
          <w:sz w:val="22"/>
          <w:szCs w:val="22"/>
          <w:bdr w:val="none" w:sz="0" w:space="0" w:color="auto" w:frame="1"/>
        </w:rPr>
        <w:drawing>
          <wp:inline distT="0" distB="0" distL="0" distR="0" wp14:anchorId="1A9DB293" wp14:editId="2ED8682D">
            <wp:extent cx="5943600" cy="29603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0370"/>
                    </a:xfrm>
                    <a:prstGeom prst="rect">
                      <a:avLst/>
                    </a:prstGeom>
                    <a:noFill/>
                    <a:ln>
                      <a:noFill/>
                    </a:ln>
                  </pic:spPr>
                </pic:pic>
              </a:graphicData>
            </a:graphic>
          </wp:inline>
        </w:drawing>
      </w:r>
      <w:r w:rsidRPr="00FA14B1">
        <w:rPr>
          <w:b/>
          <w:bCs/>
          <w:color w:val="000000" w:themeColor="text1"/>
          <w:sz w:val="22"/>
          <w:szCs w:val="22"/>
          <w:bdr w:val="none" w:sz="0" w:space="0" w:color="auto" w:frame="1"/>
        </w:rPr>
        <w:fldChar w:fldCharType="end"/>
      </w:r>
    </w:p>
    <w:p w:rsidR="00333829" w:rsidRPr="00207D2E" w:rsidRDefault="00207D2E" w:rsidP="00207D2E">
      <w:pPr>
        <w:spacing w:line="480" w:lineRule="auto"/>
        <w:jc w:val="both"/>
        <w:rPr>
          <w:lang w:val="en-US"/>
        </w:rPr>
      </w:pPr>
      <w:r w:rsidRPr="00FA14B1">
        <w:rPr>
          <w:b/>
          <w:color w:val="000000" w:themeColor="text1"/>
          <w:lang w:val="en-US"/>
        </w:rPr>
        <w:t>Figure S5</w:t>
      </w:r>
      <w:r w:rsidRPr="00FA14B1">
        <w:rPr>
          <w:bCs/>
          <w:color w:val="000000" w:themeColor="text1"/>
          <w:lang w:val="en-US"/>
        </w:rPr>
        <w:t>. Comparison of the estimated OLS slopes using different bin classifications (i.e., in base 1.5 and 2.5). The y-axes show the OLS slopes with the used bin classification for the main analysis whereas the x-axes correspond to the OLS slopes when the number of size bins are increased (in base 1.5; left plot) and decreased (in base 2.5; right plot).</w:t>
      </w:r>
    </w:p>
    <w:sectPr w:rsidR="00333829" w:rsidRPr="00207D2E" w:rsidSect="005660E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2E"/>
    <w:rsid w:val="00171BCA"/>
    <w:rsid w:val="00207D2E"/>
    <w:rsid w:val="00333829"/>
    <w:rsid w:val="005660E0"/>
    <w:rsid w:val="007526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FFF959F"/>
  <w15:chartTrackingRefBased/>
  <w15:docId w15:val="{33DEEC56-C70B-3F4F-8AB7-60F0513B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7D2E"/>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836</Words>
  <Characters>4603</Characters>
  <Application>Microsoft Office Word</Application>
  <DocSecurity>0</DocSecurity>
  <Lines>38</Lines>
  <Paragraphs>10</Paragraphs>
  <ScaleCrop>false</ScaleCrop>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Ignasi Arranz</dc:creator>
  <cp:keywords/>
  <dc:description/>
  <cp:lastModifiedBy>Ignasi Arranz</cp:lastModifiedBy>
  <cp:revision>2</cp:revision>
  <dcterms:created xsi:type="dcterms:W3CDTF">2021-09-07T13:55:00Z</dcterms:created>
  <dcterms:modified xsi:type="dcterms:W3CDTF">2021-09-07T14:13:00Z</dcterms:modified>
</cp:coreProperties>
</file>