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090" w:rsidRPr="00E84650" w:rsidRDefault="00FB1090" w:rsidP="00FB1090">
      <w:pPr>
        <w:spacing w:line="480" w:lineRule="auto"/>
        <w:ind w:right="-279"/>
        <w:jc w:val="both"/>
        <w:outlineLvl w:val="0"/>
        <w:rPr>
          <w:color w:val="000000" w:themeColor="text1"/>
          <w:sz w:val="21"/>
          <w:lang w:val="en-US"/>
        </w:rPr>
      </w:pPr>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p>
    <w:p w:rsidR="008D4BF8" w:rsidRPr="004001C1" w:rsidRDefault="008D4BF8" w:rsidP="008D4BF8">
      <w:pPr>
        <w:spacing w:line="480" w:lineRule="auto"/>
        <w:ind w:right="-279"/>
        <w:jc w:val="both"/>
        <w:rPr>
          <w:rFonts w:eastAsiaTheme="majorEastAsia"/>
          <w:color w:val="2F5496" w:themeColor="accent1" w:themeShade="BF"/>
          <w:sz w:val="28"/>
          <w:szCs w:val="32"/>
          <w:lang w:val="en-US"/>
        </w:rPr>
      </w:pPr>
      <w:bookmarkStart w:id="0" w:name="_GoBack"/>
      <w:bookmarkEnd w:id="0"/>
      <w:r w:rsidRPr="004001C1">
        <w:rPr>
          <w:rFonts w:eastAsiaTheme="majorEastAsia"/>
          <w:color w:val="2F5496" w:themeColor="accent1" w:themeShade="BF"/>
          <w:sz w:val="28"/>
          <w:szCs w:val="32"/>
          <w:lang w:val="en-US"/>
        </w:rPr>
        <w:t>Appendix S</w:t>
      </w:r>
      <w:r w:rsidRPr="008D4BF8">
        <w:rPr>
          <w:rFonts w:eastAsiaTheme="majorEastAsia"/>
          <w:color w:val="2F5496" w:themeColor="accent1" w:themeShade="BF"/>
          <w:sz w:val="28"/>
          <w:szCs w:val="32"/>
          <w:lang w:val="en-US"/>
        </w:rPr>
        <w:t>8</w:t>
      </w:r>
      <w:r w:rsidRPr="004001C1">
        <w:rPr>
          <w:rFonts w:eastAsiaTheme="majorEastAsia"/>
          <w:color w:val="2F5496" w:themeColor="accent1" w:themeShade="BF"/>
          <w:sz w:val="28"/>
          <w:szCs w:val="32"/>
          <w:lang w:val="en-US"/>
        </w:rPr>
        <w:t>. Multiple combinations of species leading to different values of biomass conservation</w:t>
      </w:r>
    </w:p>
    <w:p w:rsidR="008D4BF8" w:rsidRPr="00FA14B1" w:rsidRDefault="008D4BF8" w:rsidP="008D4BF8">
      <w:pPr>
        <w:spacing w:line="480" w:lineRule="auto"/>
        <w:ind w:right="-279"/>
        <w:jc w:val="both"/>
        <w:rPr>
          <w:color w:val="000000" w:themeColor="text1"/>
          <w:lang w:val="en-US"/>
        </w:rPr>
      </w:pPr>
      <w:r w:rsidRPr="00FA14B1">
        <w:rPr>
          <w:color w:val="000000" w:themeColor="text1"/>
          <w:lang w:val="en-US"/>
        </w:rPr>
        <w:t>Even though different species compositional axes (</w:t>
      </w:r>
      <w:proofErr w:type="spellStart"/>
      <w:r w:rsidRPr="00FA14B1">
        <w:rPr>
          <w:color w:val="000000" w:themeColor="text1"/>
          <w:lang w:val="en-US"/>
        </w:rPr>
        <w:t>PCoA</w:t>
      </w:r>
      <w:proofErr w:type="spellEnd"/>
      <w:r w:rsidRPr="00FA14B1">
        <w:rPr>
          <w:color w:val="000000" w:themeColor="text1"/>
          <w:lang w:val="en-US"/>
        </w:rPr>
        <w:t xml:space="preserve">) characterize different communities in terms of their species compositions, one critical aspect is to demonstrate that a wide variety of species compositions can lead to low and high values of biomass conservation. Imagine an extreme fictional case in which lakes are dominated by only two very distinct types of communities in terms of species composition; one type with low and the other type with high average biomass slopes.  In this case, only one </w:t>
      </w:r>
      <w:proofErr w:type="spellStart"/>
      <w:r w:rsidRPr="00FA14B1">
        <w:rPr>
          <w:color w:val="000000" w:themeColor="text1"/>
          <w:lang w:val="en-US"/>
        </w:rPr>
        <w:t>PCoA</w:t>
      </w:r>
      <w:proofErr w:type="spellEnd"/>
      <w:r w:rsidRPr="00FA14B1">
        <w:rPr>
          <w:color w:val="000000" w:themeColor="text1"/>
          <w:lang w:val="en-US"/>
        </w:rPr>
        <w:t xml:space="preserve"> axis would be important in describing biomass slope variation as a function of variation in species compositions.  </w:t>
      </w:r>
      <w:r w:rsidRPr="00EC5EA7">
        <w:rPr>
          <w:color w:val="000000" w:themeColor="text1"/>
          <w:lang w:val="en-US"/>
        </w:rPr>
        <w:t>However, this fictional lake system emphasizes that we would not have enough independent degree of species variation across communities to generate strong evidence that composition drives biomass conservation.</w:t>
      </w:r>
      <w:r>
        <w:rPr>
          <w:color w:val="000000" w:themeColor="text1"/>
          <w:lang w:val="en-US"/>
        </w:rPr>
        <w:t xml:space="preserve"> </w:t>
      </w:r>
      <w:r w:rsidRPr="00EC5EA7">
        <w:rPr>
          <w:color w:val="000000" w:themeColor="text1"/>
          <w:lang w:val="en-US"/>
        </w:rPr>
        <w:t xml:space="preserve">Stronger evidence would be generated if multiple </w:t>
      </w:r>
      <w:r>
        <w:rPr>
          <w:color w:val="000000" w:themeColor="text1"/>
          <w:lang w:val="en-US"/>
        </w:rPr>
        <w:t xml:space="preserve">different </w:t>
      </w:r>
      <w:r w:rsidRPr="00EC5EA7">
        <w:rPr>
          <w:color w:val="000000" w:themeColor="text1"/>
          <w:lang w:val="en-US"/>
        </w:rPr>
        <w:t xml:space="preserve">combinations of species lead to low and high degrees of biomass conservation. </w:t>
      </w:r>
      <w:r w:rsidRPr="00FA14B1">
        <w:rPr>
          <w:color w:val="000000" w:themeColor="text1"/>
          <w:lang w:val="en-US"/>
        </w:rPr>
        <w:t xml:space="preserve">To tackle this issue, we conducted variation partitioning using a generalized least squares (GLS) approach in which beta-diversity was used as weights in fitting process of the model. The goal of this model is to reduce the contribution of lakes </w:t>
      </w:r>
      <w:r>
        <w:rPr>
          <w:color w:val="000000" w:themeColor="text1"/>
          <w:lang w:val="en-US"/>
        </w:rPr>
        <w:t xml:space="preserve">with similar species compositions </w:t>
      </w:r>
      <w:r w:rsidRPr="00FA14B1">
        <w:rPr>
          <w:color w:val="000000" w:themeColor="text1"/>
          <w:lang w:val="en-US"/>
        </w:rPr>
        <w:t xml:space="preserve">in explaining variation in biomass conservation.  </w:t>
      </w:r>
    </w:p>
    <w:p w:rsidR="008D4BF8" w:rsidRPr="00FA14B1" w:rsidRDefault="008D4BF8" w:rsidP="008D4BF8">
      <w:pPr>
        <w:spacing w:line="480" w:lineRule="auto"/>
        <w:ind w:right="-279" w:firstLine="720"/>
        <w:jc w:val="both"/>
        <w:rPr>
          <w:color w:val="000000" w:themeColor="text1"/>
          <w:lang w:val="en-US"/>
        </w:rPr>
      </w:pPr>
      <w:r w:rsidRPr="00FA14B1">
        <w:rPr>
          <w:color w:val="000000" w:themeColor="text1"/>
          <w:lang w:val="en-US"/>
        </w:rPr>
        <w:t xml:space="preserve">We start by demonstrating that many similar communities and dissimilar communities in their species composition can lead to wide differences (and similarities) in their abilities to conserve biomass.  The plot below shows the variation in community composition across lakes (lake pairwise Jaccard similarity) and their absolute differences in biomass conservation.  Many lakes with no species in common (Jaccard similarity equal to zero) have very similar (close to zero difference in biomass conservation) or very different </w:t>
      </w:r>
      <w:r w:rsidRPr="00FA14B1">
        <w:rPr>
          <w:color w:val="000000" w:themeColor="text1"/>
          <w:lang w:val="en-US"/>
        </w:rPr>
        <w:lastRenderedPageBreak/>
        <w:t>biomass conservation values.  Conversely, many lakes with similar (Jaccard similarity close to one) and even the exact same species (Jaccard similarity equal to one) also vary in their abilities to conserve biomass across fish size (biomass) classes.  Obviously, there is a tendency that lakes with similar species compositions to have similar biomass values</w:t>
      </w:r>
      <w:r>
        <w:rPr>
          <w:color w:val="000000" w:themeColor="text1"/>
          <w:lang w:val="en-US"/>
        </w:rPr>
        <w:t xml:space="preserve"> (</w:t>
      </w:r>
      <w:r w:rsidRPr="00FA14B1">
        <w:rPr>
          <w:color w:val="000000" w:themeColor="text1"/>
          <w:lang w:val="en-US"/>
        </w:rPr>
        <w:t>negative correlation in the plot below</w:t>
      </w:r>
      <w:r>
        <w:rPr>
          <w:color w:val="000000" w:themeColor="text1"/>
          <w:lang w:val="en-US"/>
        </w:rPr>
        <w:t>)</w:t>
      </w:r>
      <w:r w:rsidRPr="00FA14B1">
        <w:rPr>
          <w:color w:val="000000" w:themeColor="text1"/>
          <w:lang w:val="en-US"/>
        </w:rPr>
        <w:t>.  Otherwise, our variation partitioning results (Fig. 2) would not have been as strong (see Peres-</w:t>
      </w:r>
      <w:proofErr w:type="spellStart"/>
      <w:r w:rsidRPr="00FA14B1">
        <w:rPr>
          <w:color w:val="000000" w:themeColor="text1"/>
          <w:lang w:val="en-US"/>
        </w:rPr>
        <w:t>Neto</w:t>
      </w:r>
      <w:proofErr w:type="spellEnd"/>
      <w:r w:rsidRPr="00FA14B1">
        <w:rPr>
          <w:color w:val="000000" w:themeColor="text1"/>
          <w:lang w:val="en-US"/>
        </w:rPr>
        <w:t xml:space="preserve"> and Jackson </w:t>
      </w:r>
      <w:r>
        <w:rPr>
          <w:color w:val="000000" w:themeColor="text1"/>
          <w:lang w:val="en-US"/>
        </w:rPr>
        <w:t>(</w:t>
      </w:r>
      <w:r w:rsidRPr="00FA14B1">
        <w:rPr>
          <w:color w:val="000000" w:themeColor="text1"/>
          <w:lang w:val="en-US"/>
        </w:rPr>
        <w:t>2001</w:t>
      </w:r>
      <w:r>
        <w:rPr>
          <w:color w:val="000000" w:themeColor="text1"/>
          <w:lang w:val="en-US"/>
        </w:rPr>
        <w:t>)</w:t>
      </w:r>
      <w:r w:rsidRPr="00FA14B1">
        <w:rPr>
          <w:color w:val="000000" w:themeColor="text1"/>
          <w:lang w:val="en-US"/>
        </w:rPr>
        <w:t xml:space="preserve"> for a discussion on how pairwise approaches, i.e., Mantel-based, and raw-data approaches).  It is important to note that lakes with similar species composition do not necessary share all their species in common.  For instance, the 3407 pairs of lakes with a Jaccard similarity equal or greater than 0.70 do not share similar compositions with that group.  That is to say that two pairs of lakes (A-B and C-D) with a compositional similarity of 100% could share no species in common across pairs (i.e., lakes A-C and B-D).  As such, there can be a wide diversity of </w:t>
      </w:r>
      <w:r>
        <w:rPr>
          <w:color w:val="000000" w:themeColor="text1"/>
          <w:lang w:val="en-US"/>
        </w:rPr>
        <w:t xml:space="preserve">species composition </w:t>
      </w:r>
      <w:r w:rsidRPr="00FA14B1">
        <w:rPr>
          <w:color w:val="000000" w:themeColor="text1"/>
          <w:lang w:val="en-US"/>
        </w:rPr>
        <w:t xml:space="preserve">leading to a wide variation in biomass conservation values.  </w:t>
      </w:r>
    </w:p>
    <w:p w:rsidR="008D4BF8" w:rsidRPr="00FA14B1" w:rsidRDefault="008D4BF8" w:rsidP="008D4BF8">
      <w:pPr>
        <w:spacing w:line="480" w:lineRule="auto"/>
        <w:ind w:right="-279"/>
        <w:jc w:val="both"/>
        <w:rPr>
          <w:color w:val="000000" w:themeColor="text1"/>
          <w:lang w:val="en-US"/>
        </w:rPr>
      </w:pPr>
      <w:r w:rsidRPr="00FA14B1">
        <w:rPr>
          <w:color w:val="000000" w:themeColor="text1"/>
          <w:lang w:val="en-US"/>
        </w:rPr>
        <w:tab/>
        <w:t>The GLS-based variation partitioning to reduce the contribution of lakes</w:t>
      </w:r>
      <w:r>
        <w:rPr>
          <w:color w:val="000000" w:themeColor="text1"/>
          <w:lang w:val="en-US"/>
        </w:rPr>
        <w:t xml:space="preserve"> with similar species compositions</w:t>
      </w:r>
      <w:r w:rsidRPr="00FA14B1">
        <w:rPr>
          <w:color w:val="000000" w:themeColor="text1"/>
          <w:lang w:val="en-US"/>
        </w:rPr>
        <w:t xml:space="preserve"> in explaining variation in biomass conservation</w:t>
      </w:r>
      <w:r>
        <w:rPr>
          <w:color w:val="000000" w:themeColor="text1"/>
          <w:lang w:val="en-US"/>
        </w:rPr>
        <w:t xml:space="preserve"> </w:t>
      </w:r>
      <w:r w:rsidRPr="00FA14B1">
        <w:rPr>
          <w:color w:val="000000" w:themeColor="text1"/>
          <w:lang w:val="en-US"/>
        </w:rPr>
        <w:t xml:space="preserve">was conducted as follows.  The total contribution of environmental variation (matrix </w:t>
      </w:r>
      <w:r w:rsidRPr="00FA14B1">
        <w:rPr>
          <w:b/>
          <w:bCs/>
          <w:color w:val="000000" w:themeColor="text1"/>
          <w:lang w:val="en-US"/>
        </w:rPr>
        <w:t>X</w:t>
      </w:r>
      <w:r w:rsidRPr="00FA14B1">
        <w:rPr>
          <w:b/>
          <w:bCs/>
          <w:color w:val="000000" w:themeColor="text1"/>
          <w:vertAlign w:val="subscript"/>
          <w:lang w:val="en-US"/>
        </w:rPr>
        <w:t>1</w:t>
      </w:r>
      <w:r w:rsidRPr="00FA14B1">
        <w:rPr>
          <w:color w:val="000000" w:themeColor="text1"/>
          <w:lang w:val="en-US"/>
        </w:rPr>
        <w:t xml:space="preserve">; lakes in rows and environmental variables in columns) and species </w:t>
      </w:r>
      <w:r>
        <w:rPr>
          <w:color w:val="000000" w:themeColor="text1"/>
          <w:lang w:val="en-US"/>
        </w:rPr>
        <w:t>composition</w:t>
      </w:r>
      <w:r w:rsidRPr="00FA14B1">
        <w:rPr>
          <w:color w:val="000000" w:themeColor="text1"/>
          <w:lang w:val="en-US"/>
        </w:rPr>
        <w:t xml:space="preserve">s (matrix </w:t>
      </w:r>
      <w:r w:rsidRPr="00FA14B1">
        <w:rPr>
          <w:b/>
          <w:bCs/>
          <w:color w:val="000000" w:themeColor="text1"/>
          <w:lang w:val="en-US"/>
        </w:rPr>
        <w:t>X</w:t>
      </w:r>
      <w:r w:rsidRPr="00FA14B1">
        <w:rPr>
          <w:b/>
          <w:bCs/>
          <w:color w:val="000000" w:themeColor="text1"/>
          <w:vertAlign w:val="subscript"/>
          <w:lang w:val="en-US"/>
        </w:rPr>
        <w:t>2</w:t>
      </w:r>
      <w:r w:rsidRPr="00FA14B1">
        <w:rPr>
          <w:color w:val="000000" w:themeColor="text1"/>
          <w:lang w:val="en-US"/>
        </w:rPr>
        <w:t xml:space="preserve"> containing </w:t>
      </w:r>
      <w:proofErr w:type="spellStart"/>
      <w:r w:rsidRPr="00FA14B1">
        <w:rPr>
          <w:color w:val="000000" w:themeColor="text1"/>
          <w:lang w:val="en-US"/>
        </w:rPr>
        <w:t>PCoA</w:t>
      </w:r>
      <w:proofErr w:type="spellEnd"/>
      <w:r w:rsidRPr="00FA14B1">
        <w:rPr>
          <w:color w:val="000000" w:themeColor="text1"/>
          <w:lang w:val="en-US"/>
        </w:rPr>
        <w:t xml:space="preserve"> coordinates; lakes in rows and axes in columns) to biomass conservation (</w:t>
      </w:r>
      <w:proofErr w:type="spellStart"/>
      <w:r w:rsidRPr="00FA14B1">
        <w:rPr>
          <w:b/>
          <w:bCs/>
          <w:color w:val="000000" w:themeColor="text1"/>
          <w:lang w:val="en-US"/>
        </w:rPr>
        <w:t>B</w:t>
      </w:r>
      <w:r w:rsidRPr="00FA14B1">
        <w:rPr>
          <w:b/>
          <w:bCs/>
          <w:color w:val="000000" w:themeColor="text1"/>
          <w:vertAlign w:val="subscript"/>
          <w:lang w:val="en-US"/>
        </w:rPr>
        <w:t>c</w:t>
      </w:r>
      <w:proofErr w:type="spellEnd"/>
      <w:r w:rsidRPr="00FA14B1">
        <w:rPr>
          <w:color w:val="000000" w:themeColor="text1"/>
          <w:lang w:val="en-US"/>
        </w:rPr>
        <w:t xml:space="preserve">; vector of biomass slopes) was estimated with a matrix of weights (a lake pairwise matrix </w:t>
      </w:r>
      <m:oMath>
        <m:r>
          <m:rPr>
            <m:sty m:val="b"/>
          </m:rPr>
          <w:rPr>
            <w:rFonts w:ascii="Cambria Math" w:hAnsi="Cambria Math"/>
            <w:color w:val="000000" w:themeColor="text1"/>
            <w:lang w:val="en-US"/>
          </w:rPr>
          <m:t>Σ</m:t>
        </m:r>
      </m:oMath>
      <w:r w:rsidRPr="00FA14B1">
        <w:rPr>
          <w:rFonts w:eastAsiaTheme="minorEastAsia"/>
          <w:b/>
          <w:bCs/>
          <w:color w:val="000000" w:themeColor="text1"/>
          <w:lang w:val="en-US"/>
        </w:rPr>
        <w:t xml:space="preserve"> </w:t>
      </w:r>
      <w:r w:rsidRPr="00FA14B1">
        <w:rPr>
          <w:rFonts w:eastAsiaTheme="minorEastAsia"/>
          <w:color w:val="000000" w:themeColor="text1"/>
          <w:lang w:val="en-US"/>
        </w:rPr>
        <w:t>with the complement of the Jaccard similarity, i.e., Jaccard distance</w:t>
      </w:r>
      <w:r w:rsidRPr="00FA14B1">
        <w:rPr>
          <w:color w:val="000000" w:themeColor="text1"/>
          <w:lang w:val="en-US"/>
        </w:rPr>
        <w:t xml:space="preserve">).  In this way, lakes that are very similar in their species compositions contribute less to the model estimates.  All matrix columns were standardized to mean equal to zero and variance equal to unity as components of variation are not affected by intercepts.  </w:t>
      </w:r>
    </w:p>
    <w:p w:rsidR="008D4BF8" w:rsidRPr="00CF52B5" w:rsidRDefault="00FB1090" w:rsidP="008D4BF8">
      <w:pPr>
        <w:spacing w:line="480" w:lineRule="auto"/>
        <w:ind w:right="-279"/>
        <w:jc w:val="both"/>
        <w:rPr>
          <w:color w:val="000000" w:themeColor="text1"/>
          <w:lang w:val="en-US"/>
        </w:rPr>
      </w:pPr>
      <m:oMathPara>
        <m:oMath>
          <m:sSub>
            <m:sSubPr>
              <m:ctrlPr>
                <w:rPr>
                  <w:rFonts w:ascii="Cambria Math" w:hAnsi="Cambria Math"/>
                  <w:b/>
                  <w:bCs/>
                  <w:iCs/>
                  <w:color w:val="000000" w:themeColor="text1"/>
                  <w:lang w:val="en-US"/>
                </w:rPr>
              </m:ctrlPr>
            </m:sSub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ub>
          </m:sSub>
          <m:r>
            <m:rPr>
              <m:sty m:val="b"/>
            </m:rPr>
            <w:rPr>
              <w:rFonts w:ascii="Cambria Math" w:hAnsi="Cambria Math"/>
              <w:color w:val="000000" w:themeColor="text1"/>
              <w:lang w:val="en-US"/>
            </w:rPr>
            <m:t>=</m:t>
          </m:r>
          <m:d>
            <m:dPr>
              <m:begChr m:val="["/>
              <m:endChr m:val="]"/>
              <m:ctrlPr>
                <w:rPr>
                  <w:rFonts w:ascii="Cambria Math" w:hAnsi="Cambria Math"/>
                  <w:b/>
                  <w:bCs/>
                  <w:iCs/>
                  <w:color w:val="000000" w:themeColor="text1"/>
                  <w:lang w:val="en-US"/>
                </w:rPr>
              </m:ctrlPr>
            </m:dPr>
            <m:e>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e>
          </m:d>
          <m:sSup>
            <m:sSupPr>
              <m:ctrlPr>
                <w:rPr>
                  <w:rFonts w:ascii="Cambria Math" w:hAnsi="Cambria Math"/>
                  <w:b/>
                  <w:bCs/>
                  <w:iCs/>
                  <w:color w:val="000000" w:themeColor="text1"/>
                  <w:lang w:val="en-US"/>
                </w:rPr>
              </m:ctrlPr>
            </m:sSupPr>
            <m:e>
              <m:r>
                <m:rPr>
                  <m:sty m:val="b"/>
                </m:rPr>
                <w:rPr>
                  <w:rFonts w:ascii="Cambria Math" w:hAnsi="Cambria Math"/>
                  <w:color w:val="000000" w:themeColor="text1"/>
                  <w:lang w:val="en-US"/>
                </w:rPr>
                <m:t>(</m:t>
              </m:r>
              <m:sSup>
                <m:sSupPr>
                  <m:ctrlPr>
                    <w:rPr>
                      <w:rFonts w:ascii="Cambria Math" w:hAnsi="Cambria Math"/>
                      <w:b/>
                      <w:bCs/>
                      <w:iCs/>
                      <w:color w:val="000000" w:themeColor="text1"/>
                      <w:lang w:val="en-US"/>
                    </w:rPr>
                  </m:ctrlPr>
                </m:sSupPr>
                <m:e>
                  <m:d>
                    <m:dPr>
                      <m:begChr m:val="["/>
                      <m:endChr m:val="]"/>
                      <m:ctrlPr>
                        <w:rPr>
                          <w:rFonts w:ascii="Cambria Math" w:hAnsi="Cambria Math"/>
                          <w:b/>
                          <w:bCs/>
                          <w:iCs/>
                          <w:color w:val="000000" w:themeColor="text1"/>
                          <w:lang w:val="en-US"/>
                        </w:rPr>
                      </m:ctrlPr>
                    </m:dPr>
                    <m:e>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e>
                  </m:d>
                </m:e>
                <m:sup>
                  <m:r>
                    <m:rPr>
                      <m:sty m:val="p"/>
                    </m:rPr>
                    <w:rPr>
                      <w:rFonts w:ascii="Cambria Math" w:hAnsi="Cambria Math"/>
                      <w:color w:val="000000" w:themeColor="text1"/>
                      <w:lang w:val="en-US"/>
                    </w:rPr>
                    <m:t>T</m:t>
                  </m:r>
                </m:sup>
              </m:sSup>
              <m:r>
                <m:rPr>
                  <m:sty m:val="b"/>
                </m:rPr>
                <w:rPr>
                  <w:rFonts w:ascii="Cambria Math" w:hAnsi="Cambria Math"/>
                  <w:color w:val="000000" w:themeColor="text1"/>
                  <w:lang w:val="en-US"/>
                </w:rPr>
                <m:t>Σ</m:t>
              </m:r>
              <m:d>
                <m:dPr>
                  <m:begChr m:val="["/>
                  <m:endChr m:val="]"/>
                  <m:ctrlPr>
                    <w:rPr>
                      <w:rFonts w:ascii="Cambria Math" w:hAnsi="Cambria Math"/>
                      <w:b/>
                      <w:bCs/>
                      <w:iCs/>
                      <w:color w:val="000000" w:themeColor="text1"/>
                      <w:lang w:val="en-US"/>
                    </w:rPr>
                  </m:ctrlPr>
                </m:dPr>
                <m:e>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e>
              </m:d>
              <m:r>
                <m:rPr>
                  <m:sty m:val="b"/>
                </m:rPr>
                <w:rPr>
                  <w:rFonts w:ascii="Cambria Math" w:hAnsi="Cambria Math"/>
                  <w:color w:val="000000" w:themeColor="text1"/>
                  <w:lang w:val="en-US"/>
                </w:rPr>
                <m:t>)</m:t>
              </m:r>
            </m:e>
            <m:sup>
              <m:r>
                <m:rPr>
                  <m:sty m:val="b"/>
                </m:rPr>
                <w:rPr>
                  <w:rFonts w:ascii="Cambria Math" w:hAnsi="Cambria Math"/>
                  <w:color w:val="000000" w:themeColor="text1"/>
                  <w:lang w:val="en-US"/>
                </w:rPr>
                <m:t>-1</m:t>
              </m:r>
            </m:sup>
          </m:sSup>
          <m:sSup>
            <m:sSupPr>
              <m:ctrlPr>
                <w:rPr>
                  <w:rFonts w:ascii="Cambria Math" w:hAnsi="Cambria Math"/>
                  <w:b/>
                  <w:bCs/>
                  <w:iCs/>
                  <w:color w:val="000000" w:themeColor="text1"/>
                  <w:lang w:val="en-US"/>
                </w:rPr>
              </m:ctrlPr>
            </m:sSupPr>
            <m:e>
              <m:d>
                <m:dPr>
                  <m:begChr m:val="["/>
                  <m:endChr m:val="]"/>
                  <m:ctrlPr>
                    <w:rPr>
                      <w:rFonts w:ascii="Cambria Math" w:hAnsi="Cambria Math"/>
                      <w:b/>
                      <w:bCs/>
                      <w:iCs/>
                      <w:color w:val="000000" w:themeColor="text1"/>
                      <w:lang w:val="en-US"/>
                    </w:rPr>
                  </m:ctrlPr>
                </m:dPr>
                <m:e>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e>
              </m:d>
            </m:e>
            <m:sup>
              <m:r>
                <m:rPr>
                  <m:sty m:val="p"/>
                </m:rPr>
                <w:rPr>
                  <w:rFonts w:ascii="Cambria Math" w:hAnsi="Cambria Math"/>
                  <w:color w:val="000000" w:themeColor="text1"/>
                  <w:lang w:val="en-US"/>
                </w:rPr>
                <m:t>T</m:t>
              </m:r>
            </m:sup>
          </m:sSup>
          <m:r>
            <m:rPr>
              <m:sty m:val="b"/>
            </m:rPr>
            <w:rPr>
              <w:rFonts w:ascii="Cambria Math" w:hAnsi="Cambria Math"/>
              <w:color w:val="000000" w:themeColor="text1"/>
              <w:lang w:val="en-US"/>
            </w:rPr>
            <m:t>Σ</m:t>
          </m:r>
          <m:sSub>
            <m:sSubPr>
              <m:ctrlPr>
                <w:rPr>
                  <w:rFonts w:ascii="Cambria Math" w:eastAsiaTheme="minorEastAsia" w:hAnsi="Cambria Math"/>
                  <w:b/>
                  <w:bCs/>
                  <w:iCs/>
                  <w:color w:val="000000" w:themeColor="text1"/>
                  <w:lang w:val="en-US"/>
                </w:rPr>
              </m:ctrlPr>
            </m:sSubPr>
            <m:e>
              <m:r>
                <m:rPr>
                  <m:sty m:val="b"/>
                </m:rPr>
                <w:rPr>
                  <w:rFonts w:ascii="Cambria Math" w:eastAsiaTheme="minorEastAsia" w:hAnsi="Cambria Math"/>
                  <w:color w:val="000000" w:themeColor="text1"/>
                  <w:lang w:val="en-US"/>
                </w:rPr>
                <m:t>B</m:t>
              </m:r>
            </m:e>
            <m:sub>
              <m:r>
                <m:rPr>
                  <m:sty m:val="b"/>
                </m:rPr>
                <w:rPr>
                  <w:rFonts w:ascii="Cambria Math" w:eastAsiaTheme="minorEastAsia" w:hAnsi="Cambria Math"/>
                  <w:color w:val="000000" w:themeColor="text1"/>
                  <w:lang w:val="en-US"/>
                </w:rPr>
                <m:t>c</m:t>
              </m:r>
            </m:sub>
          </m:sSub>
        </m:oMath>
      </m:oMathPara>
    </w:p>
    <w:p w:rsidR="008D4BF8" w:rsidRPr="00CF52B5" w:rsidRDefault="00FB1090" w:rsidP="008D4BF8">
      <w:pPr>
        <w:spacing w:line="480" w:lineRule="auto"/>
        <w:ind w:right="-279"/>
        <w:jc w:val="both"/>
        <w:rPr>
          <w:color w:val="000000" w:themeColor="text1"/>
          <w:lang w:val="en-US"/>
        </w:rPr>
      </w:pPr>
      <m:oMathPara>
        <m:oMath>
          <m:sSubSup>
            <m:sSubSupPr>
              <m:ctrlPr>
                <w:rPr>
                  <w:rFonts w:ascii="Cambria Math" w:hAnsi="Cambria Math"/>
                  <w:b/>
                  <w:bCs/>
                  <w:iCs/>
                  <w:color w:val="000000" w:themeColor="text1"/>
                  <w:lang w:val="en-US"/>
                </w:rPr>
              </m:ctrlPr>
            </m:sSubSupPr>
            <m:e>
              <m:r>
                <m:rPr>
                  <m:sty m:val="bi"/>
                </m:rPr>
                <w:rPr>
                  <w:rFonts w:ascii="Cambria Math" w:hAnsi="Cambria Math"/>
                  <w:color w:val="000000" w:themeColor="text1"/>
                  <w:lang w:val="en-US"/>
                </w:rPr>
                <m:t>R</m:t>
              </m:r>
            </m:e>
            <m:sub>
              <m:d>
                <m:dPr>
                  <m:begChr m:val="["/>
                  <m:endChr m:val="]"/>
                  <m:ctrlPr>
                    <w:rPr>
                      <w:rFonts w:ascii="Cambria Math" w:hAnsi="Cambria Math"/>
                      <w:b/>
                      <w:bCs/>
                      <w:iCs/>
                      <w:color w:val="000000" w:themeColor="text1"/>
                      <w:lang w:val="en-US"/>
                    </w:rPr>
                  </m:ctrlPr>
                </m:dPr>
                <m:e>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e>
              </m:d>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r>
            <m:rPr>
              <m:sty m:val="b"/>
            </m:rPr>
            <w:rPr>
              <w:rFonts w:ascii="Cambria Math" w:hAnsi="Cambria Math"/>
              <w:color w:val="000000" w:themeColor="text1"/>
              <w:lang w:val="en-US"/>
            </w:rPr>
            <m:t>=1-</m:t>
          </m:r>
          <m:f>
            <m:fPr>
              <m:ctrlPr>
                <w:rPr>
                  <w:rFonts w:ascii="Cambria Math" w:hAnsi="Cambria Math"/>
                  <w:b/>
                  <w:bCs/>
                  <w:color w:val="000000" w:themeColor="text1"/>
                  <w:lang w:val="en-US"/>
                </w:rPr>
              </m:ctrlPr>
            </m:fPr>
            <m:num>
              <m:r>
                <w:rPr>
                  <w:rFonts w:ascii="Cambria Math" w:hAnsi="Cambria Math"/>
                  <w:color w:val="000000" w:themeColor="text1"/>
                  <w:lang w:val="en-US"/>
                </w:rPr>
                <m:t>n-1</m:t>
              </m:r>
            </m:num>
            <m:den>
              <m:r>
                <w:rPr>
                  <w:rFonts w:ascii="Cambria Math" w:hAnsi="Cambria Math"/>
                  <w:color w:val="000000" w:themeColor="text1"/>
                  <w:lang w:val="en-US"/>
                </w:rPr>
                <m:t>n-p-1</m:t>
              </m:r>
            </m:den>
          </m:f>
          <m:r>
            <m:rPr>
              <m:sty m:val="bi"/>
            </m:rPr>
            <w:rPr>
              <w:rFonts w:ascii="Cambria Math" w:hAnsi="Cambria Math"/>
              <w:color w:val="000000" w:themeColor="text1"/>
              <w:lang w:val="en-US"/>
            </w:rPr>
            <m:t>(</m:t>
          </m:r>
          <m:r>
            <w:rPr>
              <w:rFonts w:ascii="Cambria Math" w:hAnsi="Cambria Math"/>
              <w:color w:val="000000" w:themeColor="text1"/>
              <w:lang w:val="en-US"/>
            </w:rPr>
            <m:t>1-</m:t>
          </m:r>
          <m:f>
            <m:fPr>
              <m:ctrlPr>
                <w:rPr>
                  <w:rFonts w:ascii="Cambria Math" w:hAnsi="Cambria Math"/>
                  <w:b/>
                  <w:bCs/>
                  <w:color w:val="000000" w:themeColor="text1"/>
                  <w:lang w:val="en-US"/>
                </w:rPr>
              </m:ctrlPr>
            </m:fPr>
            <m:num>
              <m:r>
                <w:rPr>
                  <w:rFonts w:ascii="Cambria Math" w:hAnsi="Cambria Math"/>
                  <w:color w:val="000000" w:themeColor="text1"/>
                  <w:lang w:val="en-US"/>
                </w:rPr>
                <m:t>trace</m:t>
              </m:r>
              <m:d>
                <m:dPr>
                  <m:ctrlPr>
                    <w:rPr>
                      <w:rFonts w:ascii="Cambria Math" w:hAnsi="Cambria Math"/>
                      <w:b/>
                      <w:bCs/>
                      <w:i/>
                      <w:color w:val="000000" w:themeColor="text1"/>
                      <w:lang w:val="en-US"/>
                    </w:rPr>
                  </m:ctrlPr>
                </m:dPr>
                <m:e>
                  <m:sSubSup>
                    <m:sSubSupPr>
                      <m:ctrlPr>
                        <w:rPr>
                          <w:rFonts w:ascii="Cambria Math" w:hAnsi="Cambria Math"/>
                          <w:b/>
                          <w:bCs/>
                          <w:iCs/>
                          <w:color w:val="000000" w:themeColor="text1"/>
                          <w:lang w:val="en-US"/>
                        </w:rPr>
                      </m:ctrlPr>
                    </m:sSubSup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ub>
                    <m:sup>
                      <m:r>
                        <m:rPr>
                          <m:sty m:val="p"/>
                        </m:rPr>
                        <w:rPr>
                          <w:rFonts w:ascii="Cambria Math" w:hAnsi="Cambria Math"/>
                          <w:color w:val="000000" w:themeColor="text1"/>
                          <w:lang w:val="en-US"/>
                        </w:rPr>
                        <m:t>T</m:t>
                      </m:r>
                    </m:sup>
                  </m:sSubSup>
                  <m:sSub>
                    <m:sSubPr>
                      <m:ctrlPr>
                        <w:rPr>
                          <w:rFonts w:ascii="Cambria Math" w:hAnsi="Cambria Math"/>
                          <w:b/>
                          <w:bCs/>
                          <w:iCs/>
                          <w:color w:val="000000" w:themeColor="text1"/>
                          <w:lang w:val="en-US"/>
                        </w:rPr>
                      </m:ctrlPr>
                    </m:sSub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ub>
                  </m:sSub>
                </m:e>
              </m:d>
            </m:num>
            <m:den>
              <m:r>
                <w:rPr>
                  <w:rFonts w:ascii="Cambria Math" w:hAnsi="Cambria Math"/>
                  <w:color w:val="000000" w:themeColor="text1"/>
                  <w:lang w:val="en-US"/>
                </w:rPr>
                <m:t>trace</m:t>
              </m:r>
              <m:d>
                <m:dPr>
                  <m:ctrlPr>
                    <w:rPr>
                      <w:rFonts w:ascii="Cambria Math" w:hAnsi="Cambria Math"/>
                      <w:b/>
                      <w:bCs/>
                      <w:i/>
                      <w:color w:val="000000" w:themeColor="text1"/>
                      <w:lang w:val="en-US"/>
                    </w:rPr>
                  </m:ctrlPr>
                </m:dPr>
                <m:e>
                  <m:sSubSup>
                    <m:sSubSupPr>
                      <m:ctrlPr>
                        <w:rPr>
                          <w:rFonts w:ascii="Cambria Math" w:hAnsi="Cambria Math"/>
                          <w:b/>
                          <w:bCs/>
                          <w:i/>
                          <w:color w:val="000000" w:themeColor="text1"/>
                          <w:lang w:val="en-US"/>
                        </w:rPr>
                      </m:ctrlPr>
                    </m:sSubSupPr>
                    <m:e>
                      <m:r>
                        <m:rPr>
                          <m:sty m:val="b"/>
                        </m:rPr>
                        <w:rPr>
                          <w:rFonts w:ascii="Cambria Math" w:hAnsi="Cambria Math"/>
                          <w:color w:val="000000" w:themeColor="text1"/>
                          <w:lang w:val="en-US"/>
                        </w:rPr>
                        <m:t>B</m:t>
                      </m:r>
                    </m:e>
                    <m:sub>
                      <m:r>
                        <m:rPr>
                          <m:sty m:val="b"/>
                        </m:rPr>
                        <w:rPr>
                          <w:rFonts w:ascii="Cambria Math" w:hAnsi="Cambria Math"/>
                          <w:color w:val="000000" w:themeColor="text1"/>
                          <w:lang w:val="en-US"/>
                        </w:rPr>
                        <m:t>c</m:t>
                      </m:r>
                    </m:sub>
                    <m:sup>
                      <m:r>
                        <m:rPr>
                          <m:sty m:val="p"/>
                        </m:rPr>
                        <w:rPr>
                          <w:rFonts w:ascii="Cambria Math" w:hAnsi="Cambria Math"/>
                          <w:color w:val="000000" w:themeColor="text1"/>
                          <w:lang w:val="en-US"/>
                        </w:rPr>
                        <m:t>T</m:t>
                      </m:r>
                    </m:sup>
                  </m:sSubSup>
                  <m:sSub>
                    <m:sSubPr>
                      <m:ctrlPr>
                        <w:rPr>
                          <w:rFonts w:ascii="Cambria Math" w:eastAsiaTheme="minorEastAsia" w:hAnsi="Cambria Math"/>
                          <w:b/>
                          <w:bCs/>
                          <w:iCs/>
                          <w:color w:val="000000" w:themeColor="text1"/>
                          <w:lang w:val="en-US"/>
                        </w:rPr>
                      </m:ctrlPr>
                    </m:sSubPr>
                    <m:e>
                      <m:r>
                        <m:rPr>
                          <m:sty m:val="b"/>
                        </m:rPr>
                        <w:rPr>
                          <w:rFonts w:ascii="Cambria Math" w:eastAsiaTheme="minorEastAsia" w:hAnsi="Cambria Math"/>
                          <w:color w:val="000000" w:themeColor="text1"/>
                          <w:lang w:val="en-US"/>
                        </w:rPr>
                        <m:t>B</m:t>
                      </m:r>
                    </m:e>
                    <m:sub>
                      <m:r>
                        <m:rPr>
                          <m:sty m:val="b"/>
                        </m:rPr>
                        <w:rPr>
                          <w:rFonts w:ascii="Cambria Math" w:eastAsiaTheme="minorEastAsia" w:hAnsi="Cambria Math"/>
                          <w:color w:val="000000" w:themeColor="text1"/>
                          <w:lang w:val="en-US"/>
                        </w:rPr>
                        <m:t>c</m:t>
                      </m:r>
                    </m:sub>
                  </m:sSub>
                  <m:ctrlPr>
                    <w:rPr>
                      <w:rFonts w:ascii="Cambria Math" w:hAnsi="Cambria Math"/>
                      <w:b/>
                      <w:bCs/>
                      <w:i/>
                      <w:iCs/>
                      <w:color w:val="000000" w:themeColor="text1"/>
                      <w:lang w:val="en-US"/>
                    </w:rPr>
                  </m:ctrlPr>
                </m:e>
              </m:d>
            </m:den>
          </m:f>
          <m:r>
            <m:rPr>
              <m:sty m:val="bi"/>
            </m:rPr>
            <w:rPr>
              <w:rFonts w:ascii="Cambria Math" w:hAnsi="Cambria Math"/>
              <w:color w:val="000000" w:themeColor="text1"/>
              <w:lang w:val="en-US"/>
            </w:rPr>
            <m:t>)</m:t>
          </m:r>
        </m:oMath>
      </m:oMathPara>
    </w:p>
    <w:p w:rsidR="008D4BF8" w:rsidRPr="00FA14B1" w:rsidRDefault="008D4BF8" w:rsidP="008D4BF8">
      <w:pPr>
        <w:spacing w:line="480" w:lineRule="auto"/>
        <w:ind w:right="-279"/>
        <w:jc w:val="both"/>
        <w:rPr>
          <w:rFonts w:eastAsiaTheme="minorEastAsia"/>
          <w:color w:val="000000" w:themeColor="text1"/>
          <w:lang w:val="en-US"/>
        </w:rPr>
      </w:pPr>
      <w:r w:rsidRPr="00FA14B1">
        <w:rPr>
          <w:color w:val="000000" w:themeColor="text1"/>
          <w:lang w:val="en-US"/>
        </w:rPr>
        <w:lastRenderedPageBreak/>
        <w:t xml:space="preserve">where </w:t>
      </w:r>
      <m:oMath>
        <m:sSub>
          <m:sSubPr>
            <m:ctrlPr>
              <w:rPr>
                <w:rFonts w:ascii="Cambria Math" w:hAnsi="Cambria Math"/>
                <w:b/>
                <w:bCs/>
                <w:iCs/>
                <w:color w:val="000000" w:themeColor="text1"/>
                <w:lang w:val="en-US"/>
              </w:rPr>
            </m:ctrlPr>
          </m:sSub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ub>
        </m:sSub>
      </m:oMath>
      <w:r w:rsidRPr="00FA14B1">
        <w:rPr>
          <w:rFonts w:eastAsiaTheme="minorEastAsia"/>
          <w:b/>
          <w:bCs/>
          <w:iCs/>
          <w:color w:val="000000" w:themeColor="text1"/>
          <w:sz w:val="32"/>
          <w:szCs w:val="32"/>
          <w:lang w:val="en-US"/>
        </w:rPr>
        <w:t xml:space="preserve"> </w:t>
      </w:r>
      <w:r w:rsidRPr="00FA14B1">
        <w:rPr>
          <w:color w:val="000000" w:themeColor="text1"/>
          <w:lang w:val="en-US"/>
        </w:rPr>
        <w:t xml:space="preserve">are the predicted values of </w:t>
      </w:r>
      <w:proofErr w:type="spellStart"/>
      <w:r w:rsidRPr="00FA14B1">
        <w:rPr>
          <w:b/>
          <w:bCs/>
          <w:color w:val="000000" w:themeColor="text1"/>
          <w:lang w:val="en-US"/>
        </w:rPr>
        <w:t>B</w:t>
      </w:r>
      <w:r w:rsidRPr="00FA14B1">
        <w:rPr>
          <w:b/>
          <w:bCs/>
          <w:color w:val="000000" w:themeColor="text1"/>
          <w:vertAlign w:val="subscript"/>
          <w:lang w:val="en-US"/>
        </w:rPr>
        <w:t>c</w:t>
      </w:r>
      <w:proofErr w:type="spellEnd"/>
      <w:r w:rsidRPr="00FA14B1">
        <w:rPr>
          <w:color w:val="000000" w:themeColor="text1"/>
          <w:lang w:val="en-US"/>
        </w:rPr>
        <w:t xml:space="preserve">, </w:t>
      </w:r>
      <m:oMath>
        <m:sSup>
          <m:sSupPr>
            <m:ctrlPr>
              <w:rPr>
                <w:rFonts w:ascii="Cambria Math" w:hAnsi="Cambria Math"/>
                <w:b/>
                <w:bCs/>
                <w:i/>
                <w:color w:val="000000" w:themeColor="text1"/>
                <w:lang w:val="en-US"/>
              </w:rPr>
            </m:ctrlPr>
          </m:sSupPr>
          <m:e>
            <m:d>
              <m:dPr>
                <m:begChr m:val="["/>
                <m:endChr m:val="]"/>
                <m:ctrlPr>
                  <w:rPr>
                    <w:rFonts w:ascii="Cambria Math" w:hAnsi="Cambria Math"/>
                    <w:b/>
                    <w:bCs/>
                    <w:color w:val="000000" w:themeColor="text1"/>
                    <w:lang w:val="en-US"/>
                  </w:rPr>
                </m:ctrlPr>
              </m:dPr>
              <m:e>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2</m:t>
                    </m:r>
                  </m:sub>
                </m:sSub>
              </m:e>
            </m:d>
          </m:e>
          <m:sup>
            <m:r>
              <m:rPr>
                <m:sty m:val="p"/>
              </m:rPr>
              <w:rPr>
                <w:rFonts w:ascii="Cambria Math" w:hAnsi="Cambria Math"/>
                <w:color w:val="000000" w:themeColor="text1"/>
                <w:lang w:val="en-US"/>
              </w:rPr>
              <m:t>T</m:t>
            </m:r>
          </m:sup>
        </m:sSup>
      </m:oMath>
      <w:r w:rsidRPr="00FA14B1">
        <w:rPr>
          <w:color w:val="000000" w:themeColor="text1"/>
          <w:lang w:val="en-US"/>
        </w:rPr>
        <w:t xml:space="preserve"> the transpose of the matrix containing both </w:t>
      </w:r>
      <w:r w:rsidRPr="00FA14B1">
        <w:rPr>
          <w:b/>
          <w:bCs/>
          <w:color w:val="000000" w:themeColor="text1"/>
          <w:lang w:val="en-US"/>
        </w:rPr>
        <w:t>X</w:t>
      </w:r>
      <w:r w:rsidRPr="00FA14B1">
        <w:rPr>
          <w:b/>
          <w:bCs/>
          <w:color w:val="000000" w:themeColor="text1"/>
          <w:vertAlign w:val="subscript"/>
          <w:lang w:val="en-US"/>
        </w:rPr>
        <w:t>1</w:t>
      </w:r>
      <w:r w:rsidRPr="00FA14B1">
        <w:rPr>
          <w:color w:val="000000" w:themeColor="text1"/>
          <w:lang w:val="en-US"/>
        </w:rPr>
        <w:t xml:space="preserve"> and </w:t>
      </w:r>
      <w:r w:rsidRPr="00FA14B1">
        <w:rPr>
          <w:b/>
          <w:bCs/>
          <w:color w:val="000000" w:themeColor="text1"/>
          <w:lang w:val="en-US"/>
        </w:rPr>
        <w:t>X</w:t>
      </w:r>
      <w:r w:rsidRPr="00FA14B1">
        <w:rPr>
          <w:b/>
          <w:bCs/>
          <w:color w:val="000000" w:themeColor="text1"/>
          <w:vertAlign w:val="subscript"/>
          <w:lang w:val="en-US"/>
        </w:rPr>
        <w:t>2</w:t>
      </w:r>
      <w:r w:rsidRPr="00FA14B1">
        <w:rPr>
          <w:color w:val="000000" w:themeColor="text1"/>
          <w:lang w:val="en-US"/>
        </w:rPr>
        <w:t xml:space="preserve"> (juxtaposed) and </w:t>
      </w:r>
      <m:oMath>
        <m:sSubSup>
          <m:sSubSupPr>
            <m:ctrlPr>
              <w:rPr>
                <w:rFonts w:ascii="Cambria Math" w:hAnsi="Cambria Math"/>
                <w:b/>
                <w:bCs/>
                <w:iCs/>
                <w:color w:val="000000" w:themeColor="text1"/>
                <w:lang w:val="en-US"/>
              </w:rPr>
            </m:ctrlPr>
          </m:sSubSupPr>
          <m:e>
            <m:r>
              <m:rPr>
                <m:sty m:val="bi"/>
              </m:rPr>
              <w:rPr>
                <w:rFonts w:ascii="Cambria Math" w:hAnsi="Cambria Math"/>
                <w:color w:val="000000" w:themeColor="text1"/>
                <w:lang w:val="en-US"/>
              </w:rPr>
              <m:t>R</m:t>
            </m:r>
          </m:e>
          <m:sub>
            <m:d>
              <m:dPr>
                <m:begChr m:val="["/>
                <m:endChr m:val="]"/>
                <m:ctrlPr>
                  <w:rPr>
                    <w:rFonts w:ascii="Cambria Math" w:hAnsi="Cambria Math"/>
                    <w:b/>
                    <w:bCs/>
                    <w:color w:val="000000" w:themeColor="text1"/>
                    <w:lang w:val="en-US"/>
                  </w:rPr>
                </m:ctrlPr>
              </m:dPr>
              <m:e>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2</m:t>
                    </m:r>
                  </m:sub>
                </m:sSub>
              </m:e>
            </m:d>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oMath>
      <w:r w:rsidRPr="00FA14B1">
        <w:rPr>
          <w:rFonts w:eastAsiaTheme="minorEastAsia"/>
          <w:b/>
          <w:bCs/>
          <w:iCs/>
          <w:color w:val="000000" w:themeColor="text1"/>
          <w:lang w:val="en-US"/>
        </w:rPr>
        <w:t xml:space="preserve"> </w:t>
      </w:r>
      <w:r w:rsidRPr="00FA14B1">
        <w:rPr>
          <w:rFonts w:eastAsiaTheme="minorEastAsia"/>
          <w:iCs/>
          <w:color w:val="000000" w:themeColor="text1"/>
          <w:lang w:val="en-US"/>
        </w:rPr>
        <w:t xml:space="preserve">is the adjusted coefficient of determination of the model with both environment and species compositional predictors; </w:t>
      </w:r>
      <w:r w:rsidRPr="00FA14B1">
        <w:rPr>
          <w:rFonts w:eastAsiaTheme="minorEastAsia"/>
          <w:i/>
          <w:color w:val="000000" w:themeColor="text1"/>
          <w:lang w:val="en-US"/>
        </w:rPr>
        <w:t>n</w:t>
      </w:r>
      <w:r w:rsidRPr="00FA14B1">
        <w:rPr>
          <w:rFonts w:eastAsiaTheme="minorEastAsia"/>
          <w:iCs/>
          <w:color w:val="000000" w:themeColor="text1"/>
          <w:lang w:val="en-US"/>
        </w:rPr>
        <w:t xml:space="preserve"> is the number of lakes and p the number of predictors in </w:t>
      </w:r>
      <m:oMath>
        <m:d>
          <m:dPr>
            <m:begChr m:val="["/>
            <m:endChr m:val="]"/>
            <m:ctrlPr>
              <w:rPr>
                <w:rFonts w:ascii="Cambria Math" w:hAnsi="Cambria Math"/>
                <w:b/>
                <w:bCs/>
                <w:color w:val="000000" w:themeColor="text1"/>
                <w:lang w:val="en-US"/>
              </w:rPr>
            </m:ctrlPr>
          </m:dPr>
          <m:e>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2</m:t>
                </m:r>
              </m:sub>
            </m:sSub>
          </m:e>
        </m:d>
      </m:oMath>
      <w:r w:rsidRPr="00FA14B1">
        <w:rPr>
          <w:rFonts w:eastAsiaTheme="minorEastAsia"/>
          <w:color w:val="000000" w:themeColor="text1"/>
          <w:lang w:val="en-US"/>
        </w:rPr>
        <w:t>.</w:t>
      </w:r>
    </w:p>
    <w:p w:rsidR="008D4BF8" w:rsidRPr="00FA14B1" w:rsidRDefault="008D4BF8" w:rsidP="008D4BF8">
      <w:pPr>
        <w:spacing w:line="480" w:lineRule="auto"/>
        <w:ind w:right="-279"/>
        <w:jc w:val="both"/>
        <w:rPr>
          <w:rFonts w:eastAsiaTheme="minorEastAsia"/>
          <w:color w:val="000000" w:themeColor="text1"/>
          <w:lang w:val="en-US"/>
        </w:rPr>
      </w:pPr>
      <w:r w:rsidRPr="00FA14B1">
        <w:rPr>
          <w:rFonts w:eastAsiaTheme="minorEastAsia"/>
          <w:color w:val="000000" w:themeColor="text1"/>
          <w:lang w:val="en-US"/>
        </w:rPr>
        <w:tab/>
        <w:t>To produce variation partitioning estimates, we need now to estimate the models for environment and species composition, separately.</w:t>
      </w:r>
    </w:p>
    <w:p w:rsidR="008D4BF8" w:rsidRPr="00CF52B5" w:rsidRDefault="00FB1090" w:rsidP="008D4BF8">
      <w:pPr>
        <w:spacing w:line="480" w:lineRule="auto"/>
        <w:ind w:right="-279"/>
        <w:jc w:val="both"/>
        <w:rPr>
          <w:color w:val="000000" w:themeColor="text1"/>
          <w:lang w:val="en-US"/>
        </w:rPr>
      </w:pPr>
      <m:oMathPara>
        <m:oMath>
          <m:sSub>
            <m:sSubPr>
              <m:ctrlPr>
                <w:rPr>
                  <w:rFonts w:ascii="Cambria Math" w:hAnsi="Cambria Math"/>
                  <w:b/>
                  <w:bCs/>
                  <w:iCs/>
                  <w:color w:val="000000" w:themeColor="text1"/>
                  <w:lang w:val="en-US"/>
                </w:rPr>
              </m:ctrlPr>
            </m:sSub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sSup>
            <m:sSupPr>
              <m:ctrlPr>
                <w:rPr>
                  <w:rFonts w:ascii="Cambria Math" w:hAnsi="Cambria Math"/>
                  <w:b/>
                  <w:bCs/>
                  <w:iCs/>
                  <w:color w:val="000000" w:themeColor="text1"/>
                  <w:lang w:val="en-US"/>
                </w:rPr>
              </m:ctrlPr>
            </m:sSupPr>
            <m:e>
              <m:r>
                <m:rPr>
                  <m:sty m:val="b"/>
                </m:rPr>
                <w:rPr>
                  <w:rFonts w:ascii="Cambria Math" w:hAnsi="Cambria Math"/>
                  <w:color w:val="000000" w:themeColor="text1"/>
                  <w:lang w:val="en-US"/>
                </w:rPr>
                <m:t>(</m:t>
              </m:r>
              <m:sSubSup>
                <m:sSubSupPr>
                  <m:ctrlPr>
                    <w:rPr>
                      <w:rFonts w:ascii="Cambria Math" w:hAnsi="Cambria Math"/>
                      <w:iCs/>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1</m:t>
                  </m:r>
                </m:sub>
                <m:sup>
                  <m:r>
                    <m:rPr>
                      <m:sty m:val="p"/>
                    </m:rPr>
                    <w:rPr>
                      <w:rFonts w:ascii="Cambria Math" w:hAnsi="Cambria Math"/>
                      <w:color w:val="000000" w:themeColor="text1"/>
                      <w:lang w:val="en-US"/>
                    </w:rPr>
                    <m:t>T</m:t>
                  </m:r>
                </m:sup>
              </m:sSubSup>
              <m:r>
                <m:rPr>
                  <m:sty m:val="b"/>
                </m:rPr>
                <w:rPr>
                  <w:rFonts w:ascii="Cambria Math" w:hAnsi="Cambria Math"/>
                  <w:color w:val="000000" w:themeColor="text1"/>
                  <w:lang w:val="en-US"/>
                </w:rPr>
                <m:t>Σ</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r>
                <m:rPr>
                  <m:sty m:val="b"/>
                </m:rPr>
                <w:rPr>
                  <w:rFonts w:ascii="Cambria Math" w:hAnsi="Cambria Math"/>
                  <w:color w:val="000000" w:themeColor="text1"/>
                  <w:lang w:val="en-US"/>
                </w:rPr>
                <m:t>)</m:t>
              </m:r>
            </m:e>
            <m:sup>
              <m:r>
                <m:rPr>
                  <m:sty m:val="b"/>
                </m:rPr>
                <w:rPr>
                  <w:rFonts w:ascii="Cambria Math" w:hAnsi="Cambria Math"/>
                  <w:color w:val="000000" w:themeColor="text1"/>
                  <w:lang w:val="en-US"/>
                </w:rPr>
                <m:t>-1</m:t>
              </m:r>
            </m:sup>
          </m:sSup>
          <m:sSubSup>
            <m:sSubSupPr>
              <m:ctrlPr>
                <w:rPr>
                  <w:rFonts w:ascii="Cambria Math" w:hAnsi="Cambria Math"/>
                  <w:iCs/>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1</m:t>
              </m:r>
            </m:sub>
            <m:sup>
              <m:r>
                <m:rPr>
                  <m:sty m:val="p"/>
                </m:rPr>
                <w:rPr>
                  <w:rFonts w:ascii="Cambria Math" w:hAnsi="Cambria Math"/>
                  <w:color w:val="000000" w:themeColor="text1"/>
                  <w:lang w:val="en-US"/>
                </w:rPr>
                <m:t>T</m:t>
              </m:r>
            </m:sup>
          </m:sSubSup>
          <m:r>
            <m:rPr>
              <m:sty m:val="b"/>
            </m:rPr>
            <w:rPr>
              <w:rFonts w:ascii="Cambria Math" w:hAnsi="Cambria Math"/>
              <w:color w:val="000000" w:themeColor="text1"/>
              <w:lang w:val="en-US"/>
            </w:rPr>
            <m:t>Σ</m:t>
          </m:r>
          <m:sSub>
            <m:sSubPr>
              <m:ctrlPr>
                <w:rPr>
                  <w:rFonts w:ascii="Cambria Math" w:eastAsiaTheme="minorEastAsia" w:hAnsi="Cambria Math"/>
                  <w:b/>
                  <w:bCs/>
                  <w:iCs/>
                  <w:color w:val="000000" w:themeColor="text1"/>
                  <w:lang w:val="en-US"/>
                </w:rPr>
              </m:ctrlPr>
            </m:sSubPr>
            <m:e>
              <m:r>
                <m:rPr>
                  <m:sty m:val="b"/>
                </m:rPr>
                <w:rPr>
                  <w:rFonts w:ascii="Cambria Math" w:eastAsiaTheme="minorEastAsia" w:hAnsi="Cambria Math"/>
                  <w:color w:val="000000" w:themeColor="text1"/>
                  <w:lang w:val="en-US"/>
                </w:rPr>
                <m:t>B</m:t>
              </m:r>
            </m:e>
            <m:sub>
              <m:r>
                <m:rPr>
                  <m:sty m:val="b"/>
                </m:rPr>
                <w:rPr>
                  <w:rFonts w:ascii="Cambria Math" w:eastAsiaTheme="minorEastAsia" w:hAnsi="Cambria Math"/>
                  <w:color w:val="000000" w:themeColor="text1"/>
                  <w:lang w:val="en-US"/>
                </w:rPr>
                <m:t>c</m:t>
              </m:r>
            </m:sub>
          </m:sSub>
        </m:oMath>
      </m:oMathPara>
    </w:p>
    <w:p w:rsidR="008D4BF8" w:rsidRPr="00FA14B1" w:rsidRDefault="00FB1090" w:rsidP="008D4BF8">
      <w:pPr>
        <w:spacing w:line="480" w:lineRule="auto"/>
        <w:ind w:right="-279"/>
        <w:jc w:val="both"/>
        <w:rPr>
          <w:color w:val="000000" w:themeColor="text1"/>
          <w:sz w:val="32"/>
          <w:szCs w:val="32"/>
          <w:lang w:val="en-US"/>
        </w:rPr>
      </w:pPr>
      <m:oMathPara>
        <m:oMath>
          <m:sSubSup>
            <m:sSubSupPr>
              <m:ctrlPr>
                <w:rPr>
                  <w:rFonts w:ascii="Cambria Math" w:hAnsi="Cambria Math"/>
                  <w:b/>
                  <w:bCs/>
                  <w:iCs/>
                  <w:color w:val="000000" w:themeColor="text1"/>
                  <w:lang w:val="en-US"/>
                </w:rPr>
              </m:ctrlPr>
            </m:sSubSupPr>
            <m:e>
              <m:r>
                <m:rPr>
                  <m:sty m:val="bi"/>
                </m:rPr>
                <w:rPr>
                  <w:rFonts w:ascii="Cambria Math" w:hAnsi="Cambria Math"/>
                  <w:color w:val="000000" w:themeColor="text1"/>
                  <w:lang w:val="en-US"/>
                </w:rPr>
                <m:t>R</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1</m:t>
                  </m:r>
                </m:sub>
              </m:sSub>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r>
            <m:rPr>
              <m:sty m:val="b"/>
            </m:rPr>
            <w:rPr>
              <w:rFonts w:ascii="Cambria Math" w:hAnsi="Cambria Math"/>
              <w:color w:val="000000" w:themeColor="text1"/>
              <w:lang w:val="en-US"/>
            </w:rPr>
            <m:t>=1-</m:t>
          </m:r>
          <m:f>
            <m:fPr>
              <m:ctrlPr>
                <w:rPr>
                  <w:rFonts w:ascii="Cambria Math" w:hAnsi="Cambria Math"/>
                  <w:b/>
                  <w:bCs/>
                  <w:color w:val="000000" w:themeColor="text1"/>
                  <w:lang w:val="en-US"/>
                </w:rPr>
              </m:ctrlPr>
            </m:fPr>
            <m:num>
              <m:r>
                <w:rPr>
                  <w:rFonts w:ascii="Cambria Math" w:hAnsi="Cambria Math"/>
                  <w:color w:val="000000" w:themeColor="text1"/>
                  <w:lang w:val="en-US"/>
                </w:rPr>
                <m:t>n-1</m:t>
              </m:r>
            </m:num>
            <m:den>
              <m:r>
                <w:rPr>
                  <w:rFonts w:ascii="Cambria Math" w:hAnsi="Cambria Math"/>
                  <w:color w:val="000000" w:themeColor="text1"/>
                  <w:lang w:val="en-US"/>
                </w:rPr>
                <m:t>n-</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1</m:t>
                      </m:r>
                    </m:sub>
                  </m:sSub>
                </m:sub>
              </m:sSub>
              <m:r>
                <w:rPr>
                  <w:rFonts w:ascii="Cambria Math" w:hAnsi="Cambria Math"/>
                  <w:color w:val="000000" w:themeColor="text1"/>
                  <w:lang w:val="en-US"/>
                </w:rPr>
                <m:t>-1</m:t>
              </m:r>
            </m:den>
          </m:f>
          <m:r>
            <m:rPr>
              <m:sty m:val="bi"/>
            </m:rPr>
            <w:rPr>
              <w:rFonts w:ascii="Cambria Math" w:hAnsi="Cambria Math"/>
              <w:color w:val="000000" w:themeColor="text1"/>
              <w:lang w:val="en-US"/>
            </w:rPr>
            <m:t>(</m:t>
          </m:r>
          <m:r>
            <w:rPr>
              <w:rFonts w:ascii="Cambria Math" w:hAnsi="Cambria Math"/>
              <w:color w:val="000000" w:themeColor="text1"/>
              <w:lang w:val="en-US"/>
            </w:rPr>
            <m:t>1-</m:t>
          </m:r>
          <m:f>
            <m:fPr>
              <m:ctrlPr>
                <w:rPr>
                  <w:rFonts w:ascii="Cambria Math" w:hAnsi="Cambria Math"/>
                  <w:b/>
                  <w:bCs/>
                  <w:color w:val="000000" w:themeColor="text1"/>
                  <w:lang w:val="en-US"/>
                </w:rPr>
              </m:ctrlPr>
            </m:fPr>
            <m:num>
              <m:r>
                <w:rPr>
                  <w:rFonts w:ascii="Cambria Math" w:hAnsi="Cambria Math"/>
                  <w:color w:val="000000" w:themeColor="text1"/>
                  <w:lang w:val="en-US"/>
                </w:rPr>
                <m:t>trace</m:t>
              </m:r>
              <m:d>
                <m:dPr>
                  <m:ctrlPr>
                    <w:rPr>
                      <w:rFonts w:ascii="Cambria Math" w:hAnsi="Cambria Math"/>
                      <w:b/>
                      <w:bCs/>
                      <w:i/>
                      <w:color w:val="000000" w:themeColor="text1"/>
                      <w:lang w:val="en-US"/>
                    </w:rPr>
                  </m:ctrlPr>
                </m:dPr>
                <m:e>
                  <m:sSubSup>
                    <m:sSubSupPr>
                      <m:ctrlPr>
                        <w:rPr>
                          <w:rFonts w:ascii="Cambria Math" w:hAnsi="Cambria Math"/>
                          <w:b/>
                          <w:bCs/>
                          <w:iCs/>
                          <w:color w:val="000000" w:themeColor="text1"/>
                          <w:lang w:val="en-US"/>
                        </w:rPr>
                      </m:ctrlPr>
                    </m:sSubSup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1</m:t>
                          </m:r>
                        </m:sub>
                      </m:sSub>
                    </m:sub>
                    <m:sup>
                      <m:r>
                        <m:rPr>
                          <m:sty m:val="p"/>
                        </m:rPr>
                        <w:rPr>
                          <w:rFonts w:ascii="Cambria Math" w:hAnsi="Cambria Math"/>
                          <w:color w:val="000000" w:themeColor="text1"/>
                          <w:lang w:val="en-US"/>
                        </w:rPr>
                        <m:t>T</m:t>
                      </m:r>
                    </m:sup>
                  </m:sSubSup>
                  <m:sSub>
                    <m:sSubPr>
                      <m:ctrlPr>
                        <w:rPr>
                          <w:rFonts w:ascii="Cambria Math" w:hAnsi="Cambria Math"/>
                          <w:b/>
                          <w:bCs/>
                          <w:iCs/>
                          <w:color w:val="000000" w:themeColor="text1"/>
                          <w:lang w:val="en-US"/>
                        </w:rPr>
                      </m:ctrlPr>
                    </m:sSub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sub>
                  </m:sSub>
                </m:e>
              </m:d>
            </m:num>
            <m:den>
              <m:r>
                <w:rPr>
                  <w:rFonts w:ascii="Cambria Math" w:hAnsi="Cambria Math"/>
                  <w:color w:val="000000" w:themeColor="text1"/>
                  <w:lang w:val="en-US"/>
                </w:rPr>
                <m:t>trace</m:t>
              </m:r>
              <m:d>
                <m:dPr>
                  <m:ctrlPr>
                    <w:rPr>
                      <w:rFonts w:ascii="Cambria Math" w:hAnsi="Cambria Math"/>
                      <w:b/>
                      <w:bCs/>
                      <w:i/>
                      <w:color w:val="000000" w:themeColor="text1"/>
                      <w:lang w:val="en-US"/>
                    </w:rPr>
                  </m:ctrlPr>
                </m:dPr>
                <m:e>
                  <m:sSubSup>
                    <m:sSubSupPr>
                      <m:ctrlPr>
                        <w:rPr>
                          <w:rFonts w:ascii="Cambria Math" w:hAnsi="Cambria Math"/>
                          <w:b/>
                          <w:bCs/>
                          <w:i/>
                          <w:color w:val="000000" w:themeColor="text1"/>
                          <w:lang w:val="en-US"/>
                        </w:rPr>
                      </m:ctrlPr>
                    </m:sSubSupPr>
                    <m:e>
                      <m:r>
                        <m:rPr>
                          <m:sty m:val="b"/>
                        </m:rPr>
                        <w:rPr>
                          <w:rFonts w:ascii="Cambria Math" w:hAnsi="Cambria Math"/>
                          <w:color w:val="000000" w:themeColor="text1"/>
                          <w:lang w:val="en-US"/>
                        </w:rPr>
                        <m:t>B</m:t>
                      </m:r>
                    </m:e>
                    <m:sub>
                      <m:r>
                        <m:rPr>
                          <m:sty m:val="b"/>
                        </m:rPr>
                        <w:rPr>
                          <w:rFonts w:ascii="Cambria Math" w:hAnsi="Cambria Math"/>
                          <w:color w:val="000000" w:themeColor="text1"/>
                          <w:lang w:val="en-US"/>
                        </w:rPr>
                        <m:t>c</m:t>
                      </m:r>
                    </m:sub>
                    <m:sup>
                      <m:r>
                        <m:rPr>
                          <m:sty m:val="p"/>
                        </m:rPr>
                        <w:rPr>
                          <w:rFonts w:ascii="Cambria Math" w:hAnsi="Cambria Math"/>
                          <w:color w:val="000000" w:themeColor="text1"/>
                          <w:lang w:val="en-US"/>
                        </w:rPr>
                        <m:t>T</m:t>
                      </m:r>
                    </m:sup>
                  </m:sSubSup>
                  <m:sSub>
                    <m:sSubPr>
                      <m:ctrlPr>
                        <w:rPr>
                          <w:rFonts w:ascii="Cambria Math" w:eastAsiaTheme="minorEastAsia" w:hAnsi="Cambria Math"/>
                          <w:b/>
                          <w:bCs/>
                          <w:iCs/>
                          <w:color w:val="000000" w:themeColor="text1"/>
                          <w:lang w:val="en-US"/>
                        </w:rPr>
                      </m:ctrlPr>
                    </m:sSubPr>
                    <m:e>
                      <m:r>
                        <m:rPr>
                          <m:sty m:val="b"/>
                        </m:rPr>
                        <w:rPr>
                          <w:rFonts w:ascii="Cambria Math" w:eastAsiaTheme="minorEastAsia" w:hAnsi="Cambria Math"/>
                          <w:color w:val="000000" w:themeColor="text1"/>
                          <w:lang w:val="en-US"/>
                        </w:rPr>
                        <m:t>B</m:t>
                      </m:r>
                    </m:e>
                    <m:sub>
                      <m:r>
                        <m:rPr>
                          <m:sty m:val="b"/>
                        </m:rPr>
                        <w:rPr>
                          <w:rFonts w:ascii="Cambria Math" w:eastAsiaTheme="minorEastAsia" w:hAnsi="Cambria Math"/>
                          <w:color w:val="000000" w:themeColor="text1"/>
                          <w:lang w:val="en-US"/>
                        </w:rPr>
                        <m:t>c</m:t>
                      </m:r>
                    </m:sub>
                  </m:sSub>
                  <m:ctrlPr>
                    <w:rPr>
                      <w:rFonts w:ascii="Cambria Math" w:hAnsi="Cambria Math"/>
                      <w:b/>
                      <w:bCs/>
                      <w:i/>
                      <w:iCs/>
                      <w:color w:val="000000" w:themeColor="text1"/>
                      <w:lang w:val="en-US"/>
                    </w:rPr>
                  </m:ctrlPr>
                </m:e>
              </m:d>
            </m:den>
          </m:f>
          <m:r>
            <m:rPr>
              <m:sty m:val="bi"/>
            </m:rPr>
            <w:rPr>
              <w:rFonts w:ascii="Cambria Math" w:hAnsi="Cambria Math"/>
              <w:color w:val="000000" w:themeColor="text1"/>
              <w:lang w:val="en-US"/>
            </w:rPr>
            <m:t>)</m:t>
          </m:r>
        </m:oMath>
      </m:oMathPara>
    </w:p>
    <w:p w:rsidR="008D4BF8" w:rsidRPr="00FA14B1" w:rsidRDefault="008D4BF8" w:rsidP="008D4BF8">
      <w:pPr>
        <w:spacing w:line="480" w:lineRule="auto"/>
        <w:ind w:right="-279"/>
        <w:jc w:val="both"/>
        <w:rPr>
          <w:rFonts w:eastAsiaTheme="minorEastAsia"/>
          <w:iCs/>
          <w:color w:val="000000" w:themeColor="text1"/>
          <w:lang w:val="en-US"/>
        </w:rPr>
      </w:pPr>
      <w:r w:rsidRPr="00133E2F">
        <w:rPr>
          <w:color w:val="000000" w:themeColor="text1"/>
          <w:lang w:val="en-US"/>
        </w:rPr>
        <w:t xml:space="preserve">where </w:t>
      </w:r>
      <m:oMath>
        <m:sSub>
          <m:sSubPr>
            <m:ctrlPr>
              <w:rPr>
                <w:rFonts w:ascii="Cambria Math" w:hAnsi="Cambria Math"/>
                <w:b/>
                <w:bCs/>
                <w:iCs/>
                <w:color w:val="000000" w:themeColor="text1"/>
                <w:lang w:val="en-US"/>
              </w:rPr>
            </m:ctrlPr>
          </m:sSub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sub>
        </m:sSub>
      </m:oMath>
      <w:r w:rsidRPr="00CF52B5">
        <w:rPr>
          <w:rFonts w:eastAsiaTheme="minorEastAsia"/>
          <w:b/>
          <w:bCs/>
          <w:iCs/>
          <w:color w:val="000000" w:themeColor="text1"/>
          <w:lang w:val="en-US"/>
        </w:rPr>
        <w:t xml:space="preserve"> </w:t>
      </w:r>
      <w:r w:rsidRPr="00133E2F">
        <w:rPr>
          <w:color w:val="000000" w:themeColor="text1"/>
          <w:lang w:val="en-US"/>
        </w:rPr>
        <w:t>are t</w:t>
      </w:r>
      <w:r w:rsidRPr="00FA14B1">
        <w:rPr>
          <w:color w:val="000000" w:themeColor="text1"/>
          <w:lang w:val="en-US"/>
        </w:rPr>
        <w:t xml:space="preserve">he predicted values of </w:t>
      </w:r>
      <w:proofErr w:type="spellStart"/>
      <w:r w:rsidRPr="00FA14B1">
        <w:rPr>
          <w:b/>
          <w:bCs/>
          <w:color w:val="000000" w:themeColor="text1"/>
          <w:lang w:val="en-US"/>
        </w:rPr>
        <w:t>B</w:t>
      </w:r>
      <w:r w:rsidRPr="00FA14B1">
        <w:rPr>
          <w:b/>
          <w:bCs/>
          <w:color w:val="000000" w:themeColor="text1"/>
          <w:vertAlign w:val="subscript"/>
          <w:lang w:val="en-US"/>
        </w:rPr>
        <w:t>c</w:t>
      </w:r>
      <w:proofErr w:type="spellEnd"/>
      <w:r w:rsidRPr="00FA14B1">
        <w:rPr>
          <w:rFonts w:eastAsiaTheme="minorEastAsia"/>
          <w:iCs/>
          <w:color w:val="000000" w:themeColor="text1"/>
          <w:lang w:val="en-US"/>
        </w:rPr>
        <w:t xml:space="preserve"> for the model containing only environmental predictors, </w:t>
      </w:r>
      <m:oMath>
        <m:sSub>
          <m:sSubPr>
            <m:ctrlPr>
              <w:rPr>
                <w:rFonts w:ascii="Cambria Math" w:hAnsi="Cambria Math"/>
                <w:i/>
                <w:color w:val="000000" w:themeColor="text1"/>
                <w:lang w:val="en-US"/>
              </w:rPr>
            </m:ctrlPr>
          </m:sSubPr>
          <m:e>
            <m:r>
              <w:rPr>
                <w:rFonts w:ascii="Cambria Math" w:hAnsi="Cambria Math"/>
                <w:color w:val="000000" w:themeColor="text1"/>
                <w:lang w:val="en-US"/>
              </w:rPr>
              <m:t>p</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1</m:t>
                </m:r>
              </m:sub>
            </m:sSub>
          </m:sub>
        </m:sSub>
      </m:oMath>
      <w:r w:rsidRPr="00FA14B1">
        <w:rPr>
          <w:rFonts w:eastAsiaTheme="minorEastAsia"/>
          <w:iCs/>
          <w:color w:val="000000" w:themeColor="text1"/>
          <w:lang w:val="en-US"/>
        </w:rPr>
        <w:t xml:space="preserve"> is the number of environmental predictors and </w:t>
      </w:r>
      <m:oMath>
        <m:sSubSup>
          <m:sSubSupPr>
            <m:ctrlPr>
              <w:rPr>
                <w:rFonts w:ascii="Cambria Math" w:hAnsi="Cambria Math"/>
                <w:b/>
                <w:bCs/>
                <w:iCs/>
                <w:color w:val="000000" w:themeColor="text1"/>
                <w:lang w:val="en-US"/>
              </w:rPr>
            </m:ctrlPr>
          </m:sSubSupPr>
          <m:e>
            <m:r>
              <m:rPr>
                <m:sty m:val="bi"/>
              </m:rPr>
              <w:rPr>
                <w:rFonts w:ascii="Cambria Math" w:hAnsi="Cambria Math"/>
                <w:color w:val="000000" w:themeColor="text1"/>
                <w:lang w:val="en-US"/>
              </w:rPr>
              <m:t>R</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1</m:t>
                </m:r>
              </m:sub>
            </m:sSub>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oMath>
      <w:r w:rsidRPr="00FA14B1">
        <w:rPr>
          <w:rFonts w:eastAsiaTheme="minorEastAsia"/>
          <w:b/>
          <w:bCs/>
          <w:iCs/>
          <w:color w:val="000000" w:themeColor="text1"/>
          <w:lang w:val="en-US"/>
        </w:rPr>
        <w:t xml:space="preserve"> </w:t>
      </w:r>
      <w:r w:rsidRPr="00FA14B1">
        <w:rPr>
          <w:rFonts w:eastAsiaTheme="minorEastAsia"/>
          <w:iCs/>
          <w:color w:val="000000" w:themeColor="text1"/>
          <w:lang w:val="en-US"/>
        </w:rPr>
        <w:t xml:space="preserve">the adjusted coefficient of determination of the model with only the environmental predictors </w:t>
      </w:r>
      <w:r w:rsidRPr="00FA14B1">
        <w:rPr>
          <w:rFonts w:eastAsiaTheme="minorEastAsia"/>
          <w:b/>
          <w:bCs/>
          <w:iCs/>
          <w:color w:val="000000" w:themeColor="text1"/>
          <w:lang w:val="en-US"/>
        </w:rPr>
        <w:t>X</w:t>
      </w:r>
      <w:r w:rsidRPr="00FA14B1">
        <w:rPr>
          <w:rFonts w:eastAsiaTheme="minorEastAsia"/>
          <w:b/>
          <w:bCs/>
          <w:iCs/>
          <w:color w:val="000000" w:themeColor="text1"/>
          <w:vertAlign w:val="subscript"/>
          <w:lang w:val="en-US"/>
        </w:rPr>
        <w:t>1</w:t>
      </w:r>
      <w:r w:rsidRPr="00FA14B1">
        <w:rPr>
          <w:rFonts w:eastAsiaTheme="minorEastAsia"/>
          <w:iCs/>
          <w:color w:val="000000" w:themeColor="text1"/>
          <w:lang w:val="en-US"/>
        </w:rPr>
        <w:t>. Finally, the model with the compositional predictors only:</w:t>
      </w:r>
    </w:p>
    <w:p w:rsidR="008D4BF8" w:rsidRPr="00CF52B5" w:rsidRDefault="00FB1090" w:rsidP="008D4BF8">
      <w:pPr>
        <w:spacing w:line="480" w:lineRule="auto"/>
        <w:ind w:right="-279"/>
        <w:jc w:val="both"/>
        <w:rPr>
          <w:color w:val="000000" w:themeColor="text1"/>
          <w:lang w:val="en-US"/>
        </w:rPr>
      </w:pPr>
      <m:oMathPara>
        <m:oMath>
          <m:sSub>
            <m:sSubPr>
              <m:ctrlPr>
                <w:rPr>
                  <w:rFonts w:ascii="Cambria Math" w:hAnsi="Cambria Math"/>
                  <w:b/>
                  <w:bCs/>
                  <w:iCs/>
                  <w:color w:val="000000" w:themeColor="text1"/>
                  <w:lang w:val="en-US"/>
                </w:rPr>
              </m:ctrlPr>
            </m:sSub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sSup>
            <m:sSupPr>
              <m:ctrlPr>
                <w:rPr>
                  <w:rFonts w:ascii="Cambria Math" w:hAnsi="Cambria Math"/>
                  <w:b/>
                  <w:bCs/>
                  <w:iCs/>
                  <w:color w:val="000000" w:themeColor="text1"/>
                  <w:lang w:val="en-US"/>
                </w:rPr>
              </m:ctrlPr>
            </m:sSupPr>
            <m:e>
              <m:r>
                <m:rPr>
                  <m:sty m:val="b"/>
                </m:rPr>
                <w:rPr>
                  <w:rFonts w:ascii="Cambria Math" w:hAnsi="Cambria Math"/>
                  <w:color w:val="000000" w:themeColor="text1"/>
                  <w:lang w:val="en-US"/>
                </w:rPr>
                <m:t>(</m:t>
              </m:r>
              <m:sSubSup>
                <m:sSubSupPr>
                  <m:ctrlPr>
                    <w:rPr>
                      <w:rFonts w:ascii="Cambria Math" w:hAnsi="Cambria Math"/>
                      <w:iCs/>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2</m:t>
                  </m:r>
                </m:sub>
                <m:sup>
                  <m:r>
                    <m:rPr>
                      <m:sty m:val="p"/>
                    </m:rPr>
                    <w:rPr>
                      <w:rFonts w:ascii="Cambria Math" w:hAnsi="Cambria Math"/>
                      <w:color w:val="000000" w:themeColor="text1"/>
                      <w:lang w:val="en-US"/>
                    </w:rPr>
                    <m:t>T</m:t>
                  </m:r>
                </m:sup>
              </m:sSubSup>
              <m:r>
                <m:rPr>
                  <m:sty m:val="b"/>
                </m:rPr>
                <w:rPr>
                  <w:rFonts w:ascii="Cambria Math" w:hAnsi="Cambria Math"/>
                  <w:color w:val="000000" w:themeColor="text1"/>
                  <w:lang w:val="en-US"/>
                </w:rPr>
                <m:t>Σ</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r>
                <m:rPr>
                  <m:sty m:val="b"/>
                </m:rPr>
                <w:rPr>
                  <w:rFonts w:ascii="Cambria Math" w:hAnsi="Cambria Math"/>
                  <w:color w:val="000000" w:themeColor="text1"/>
                  <w:lang w:val="en-US"/>
                </w:rPr>
                <m:t>)</m:t>
              </m:r>
            </m:e>
            <m:sup>
              <m:r>
                <m:rPr>
                  <m:sty m:val="b"/>
                </m:rPr>
                <w:rPr>
                  <w:rFonts w:ascii="Cambria Math" w:hAnsi="Cambria Math"/>
                  <w:color w:val="000000" w:themeColor="text1"/>
                  <w:lang w:val="en-US"/>
                </w:rPr>
                <m:t>-1</m:t>
              </m:r>
            </m:sup>
          </m:sSup>
          <m:sSubSup>
            <m:sSubSupPr>
              <m:ctrlPr>
                <w:rPr>
                  <w:rFonts w:ascii="Cambria Math" w:hAnsi="Cambria Math"/>
                  <w:iCs/>
                  <w:color w:val="000000" w:themeColor="text1"/>
                  <w:lang w:val="en-US"/>
                </w:rPr>
              </m:ctrlPr>
            </m:sSubSupPr>
            <m:e>
              <m:r>
                <m:rPr>
                  <m:sty m:val="p"/>
                </m:rPr>
                <w:rPr>
                  <w:rFonts w:ascii="Cambria Math" w:hAnsi="Cambria Math"/>
                  <w:color w:val="000000" w:themeColor="text1"/>
                  <w:lang w:val="en-US"/>
                </w:rPr>
                <m:t>X</m:t>
              </m:r>
            </m:e>
            <m:sub>
              <m:r>
                <m:rPr>
                  <m:sty m:val="p"/>
                </m:rPr>
                <w:rPr>
                  <w:rFonts w:ascii="Cambria Math" w:hAnsi="Cambria Math"/>
                  <w:color w:val="000000" w:themeColor="text1"/>
                  <w:lang w:val="en-US"/>
                </w:rPr>
                <m:t>2</m:t>
              </m:r>
            </m:sub>
            <m:sup>
              <m:r>
                <m:rPr>
                  <m:sty m:val="p"/>
                </m:rPr>
                <w:rPr>
                  <w:rFonts w:ascii="Cambria Math" w:hAnsi="Cambria Math"/>
                  <w:color w:val="000000" w:themeColor="text1"/>
                  <w:lang w:val="en-US"/>
                </w:rPr>
                <m:t>T</m:t>
              </m:r>
            </m:sup>
          </m:sSubSup>
          <m:r>
            <m:rPr>
              <m:sty m:val="b"/>
            </m:rPr>
            <w:rPr>
              <w:rFonts w:ascii="Cambria Math" w:hAnsi="Cambria Math"/>
              <w:color w:val="000000" w:themeColor="text1"/>
              <w:lang w:val="en-US"/>
            </w:rPr>
            <m:t>Σ</m:t>
          </m:r>
          <m:sSub>
            <m:sSubPr>
              <m:ctrlPr>
                <w:rPr>
                  <w:rFonts w:ascii="Cambria Math" w:eastAsiaTheme="minorEastAsia" w:hAnsi="Cambria Math"/>
                  <w:b/>
                  <w:bCs/>
                  <w:iCs/>
                  <w:color w:val="000000" w:themeColor="text1"/>
                  <w:lang w:val="en-US"/>
                </w:rPr>
              </m:ctrlPr>
            </m:sSubPr>
            <m:e>
              <m:r>
                <m:rPr>
                  <m:sty m:val="b"/>
                </m:rPr>
                <w:rPr>
                  <w:rFonts w:ascii="Cambria Math" w:eastAsiaTheme="minorEastAsia" w:hAnsi="Cambria Math"/>
                  <w:color w:val="000000" w:themeColor="text1"/>
                  <w:lang w:val="en-US"/>
                </w:rPr>
                <m:t>B</m:t>
              </m:r>
            </m:e>
            <m:sub>
              <m:r>
                <m:rPr>
                  <m:sty m:val="b"/>
                </m:rPr>
                <w:rPr>
                  <w:rFonts w:ascii="Cambria Math" w:eastAsiaTheme="minorEastAsia" w:hAnsi="Cambria Math"/>
                  <w:color w:val="000000" w:themeColor="text1"/>
                  <w:lang w:val="en-US"/>
                </w:rPr>
                <m:t>c</m:t>
              </m:r>
            </m:sub>
          </m:sSub>
        </m:oMath>
      </m:oMathPara>
    </w:p>
    <w:p w:rsidR="008D4BF8" w:rsidRPr="00CF52B5" w:rsidRDefault="00FB1090" w:rsidP="008D4BF8">
      <w:pPr>
        <w:spacing w:line="480" w:lineRule="auto"/>
        <w:ind w:right="-279"/>
        <w:jc w:val="both"/>
        <w:rPr>
          <w:color w:val="000000" w:themeColor="text1"/>
          <w:lang w:val="en-US"/>
        </w:rPr>
      </w:pPr>
      <m:oMathPara>
        <m:oMath>
          <m:sSubSup>
            <m:sSubSupPr>
              <m:ctrlPr>
                <w:rPr>
                  <w:rFonts w:ascii="Cambria Math" w:hAnsi="Cambria Math"/>
                  <w:b/>
                  <w:bCs/>
                  <w:iCs/>
                  <w:color w:val="000000" w:themeColor="text1"/>
                  <w:lang w:val="en-US"/>
                </w:rPr>
              </m:ctrlPr>
            </m:sSubSupPr>
            <m:e>
              <m:r>
                <m:rPr>
                  <m:sty m:val="bi"/>
                </m:rPr>
                <w:rPr>
                  <w:rFonts w:ascii="Cambria Math" w:hAnsi="Cambria Math"/>
                  <w:color w:val="000000" w:themeColor="text1"/>
                  <w:lang w:val="en-US"/>
                </w:rPr>
                <m:t>R</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2</m:t>
                  </m:r>
                </m:sub>
              </m:sSub>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r>
            <m:rPr>
              <m:sty m:val="b"/>
            </m:rPr>
            <w:rPr>
              <w:rFonts w:ascii="Cambria Math" w:hAnsi="Cambria Math"/>
              <w:color w:val="000000" w:themeColor="text1"/>
              <w:lang w:val="en-US"/>
            </w:rPr>
            <m:t>=1-</m:t>
          </m:r>
          <m:f>
            <m:fPr>
              <m:ctrlPr>
                <w:rPr>
                  <w:rFonts w:ascii="Cambria Math" w:hAnsi="Cambria Math"/>
                  <w:b/>
                  <w:bCs/>
                  <w:color w:val="000000" w:themeColor="text1"/>
                  <w:lang w:val="en-US"/>
                </w:rPr>
              </m:ctrlPr>
            </m:fPr>
            <m:num>
              <m:r>
                <w:rPr>
                  <w:rFonts w:ascii="Cambria Math" w:hAnsi="Cambria Math"/>
                  <w:color w:val="000000" w:themeColor="text1"/>
                  <w:lang w:val="en-US"/>
                </w:rPr>
                <m:t>n-1</m:t>
              </m:r>
            </m:num>
            <m:den>
              <m:r>
                <w:rPr>
                  <w:rFonts w:ascii="Cambria Math" w:hAnsi="Cambria Math"/>
                  <w:color w:val="000000" w:themeColor="text1"/>
                  <w:lang w:val="en-US"/>
                </w:rPr>
                <m:t>n-</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2</m:t>
                      </m:r>
                    </m:sub>
                  </m:sSub>
                </m:sub>
              </m:sSub>
              <m:r>
                <w:rPr>
                  <w:rFonts w:ascii="Cambria Math" w:hAnsi="Cambria Math"/>
                  <w:color w:val="000000" w:themeColor="text1"/>
                  <w:lang w:val="en-US"/>
                </w:rPr>
                <m:t>-1</m:t>
              </m:r>
            </m:den>
          </m:f>
          <m:r>
            <m:rPr>
              <m:sty m:val="bi"/>
            </m:rPr>
            <w:rPr>
              <w:rFonts w:ascii="Cambria Math" w:hAnsi="Cambria Math"/>
              <w:color w:val="000000" w:themeColor="text1"/>
              <w:lang w:val="en-US"/>
            </w:rPr>
            <m:t>(</m:t>
          </m:r>
          <m:r>
            <w:rPr>
              <w:rFonts w:ascii="Cambria Math" w:hAnsi="Cambria Math"/>
              <w:color w:val="000000" w:themeColor="text1"/>
              <w:lang w:val="en-US"/>
            </w:rPr>
            <m:t>1-</m:t>
          </m:r>
          <m:f>
            <m:fPr>
              <m:ctrlPr>
                <w:rPr>
                  <w:rFonts w:ascii="Cambria Math" w:hAnsi="Cambria Math"/>
                  <w:b/>
                  <w:bCs/>
                  <w:color w:val="000000" w:themeColor="text1"/>
                  <w:lang w:val="en-US"/>
                </w:rPr>
              </m:ctrlPr>
            </m:fPr>
            <m:num>
              <m:r>
                <w:rPr>
                  <w:rFonts w:ascii="Cambria Math" w:hAnsi="Cambria Math"/>
                  <w:color w:val="000000" w:themeColor="text1"/>
                  <w:lang w:val="en-US"/>
                </w:rPr>
                <m:t>trace</m:t>
              </m:r>
              <m:d>
                <m:dPr>
                  <m:ctrlPr>
                    <w:rPr>
                      <w:rFonts w:ascii="Cambria Math" w:hAnsi="Cambria Math"/>
                      <w:b/>
                      <w:bCs/>
                      <w:i/>
                      <w:color w:val="000000" w:themeColor="text1"/>
                      <w:lang w:val="en-US"/>
                    </w:rPr>
                  </m:ctrlPr>
                </m:dPr>
                <m:e>
                  <m:sSubSup>
                    <m:sSubSupPr>
                      <m:ctrlPr>
                        <w:rPr>
                          <w:rFonts w:ascii="Cambria Math" w:hAnsi="Cambria Math"/>
                          <w:b/>
                          <w:bCs/>
                          <w:iCs/>
                          <w:color w:val="000000" w:themeColor="text1"/>
                          <w:lang w:val="en-US"/>
                        </w:rPr>
                      </m:ctrlPr>
                    </m:sSubSup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2</m:t>
                          </m:r>
                        </m:sub>
                      </m:sSub>
                    </m:sub>
                    <m:sup>
                      <m:r>
                        <m:rPr>
                          <m:sty m:val="p"/>
                        </m:rPr>
                        <w:rPr>
                          <w:rFonts w:ascii="Cambria Math" w:hAnsi="Cambria Math"/>
                          <w:color w:val="000000" w:themeColor="text1"/>
                          <w:lang w:val="en-US"/>
                        </w:rPr>
                        <m:t>T</m:t>
                      </m:r>
                    </m:sup>
                  </m:sSubSup>
                  <m:sSub>
                    <m:sSubPr>
                      <m:ctrlPr>
                        <w:rPr>
                          <w:rFonts w:ascii="Cambria Math" w:hAnsi="Cambria Math"/>
                          <w:b/>
                          <w:bCs/>
                          <w:iCs/>
                          <w:color w:val="000000" w:themeColor="text1"/>
                          <w:lang w:val="en-US"/>
                        </w:rPr>
                      </m:ctrlPr>
                    </m:sSub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sub>
                  </m:sSub>
                </m:e>
              </m:d>
            </m:num>
            <m:den>
              <m:r>
                <w:rPr>
                  <w:rFonts w:ascii="Cambria Math" w:hAnsi="Cambria Math"/>
                  <w:color w:val="000000" w:themeColor="text1"/>
                  <w:lang w:val="en-US"/>
                </w:rPr>
                <m:t>trace</m:t>
              </m:r>
              <m:d>
                <m:dPr>
                  <m:ctrlPr>
                    <w:rPr>
                      <w:rFonts w:ascii="Cambria Math" w:hAnsi="Cambria Math"/>
                      <w:b/>
                      <w:bCs/>
                      <w:i/>
                      <w:color w:val="000000" w:themeColor="text1"/>
                      <w:lang w:val="en-US"/>
                    </w:rPr>
                  </m:ctrlPr>
                </m:dPr>
                <m:e>
                  <m:sSubSup>
                    <m:sSubSupPr>
                      <m:ctrlPr>
                        <w:rPr>
                          <w:rFonts w:ascii="Cambria Math" w:hAnsi="Cambria Math"/>
                          <w:b/>
                          <w:bCs/>
                          <w:i/>
                          <w:color w:val="000000" w:themeColor="text1"/>
                          <w:lang w:val="en-US"/>
                        </w:rPr>
                      </m:ctrlPr>
                    </m:sSubSupPr>
                    <m:e>
                      <m:r>
                        <m:rPr>
                          <m:sty m:val="b"/>
                        </m:rPr>
                        <w:rPr>
                          <w:rFonts w:ascii="Cambria Math" w:hAnsi="Cambria Math"/>
                          <w:color w:val="000000" w:themeColor="text1"/>
                          <w:lang w:val="en-US"/>
                        </w:rPr>
                        <m:t>B</m:t>
                      </m:r>
                    </m:e>
                    <m:sub>
                      <m:r>
                        <m:rPr>
                          <m:sty m:val="b"/>
                        </m:rPr>
                        <w:rPr>
                          <w:rFonts w:ascii="Cambria Math" w:hAnsi="Cambria Math"/>
                          <w:color w:val="000000" w:themeColor="text1"/>
                          <w:lang w:val="en-US"/>
                        </w:rPr>
                        <m:t>c</m:t>
                      </m:r>
                    </m:sub>
                    <m:sup>
                      <m:r>
                        <m:rPr>
                          <m:sty m:val="p"/>
                        </m:rPr>
                        <w:rPr>
                          <w:rFonts w:ascii="Cambria Math" w:hAnsi="Cambria Math"/>
                          <w:color w:val="000000" w:themeColor="text1"/>
                          <w:lang w:val="en-US"/>
                        </w:rPr>
                        <m:t>T</m:t>
                      </m:r>
                    </m:sup>
                  </m:sSubSup>
                  <m:sSub>
                    <m:sSubPr>
                      <m:ctrlPr>
                        <w:rPr>
                          <w:rFonts w:ascii="Cambria Math" w:eastAsiaTheme="minorEastAsia" w:hAnsi="Cambria Math"/>
                          <w:b/>
                          <w:bCs/>
                          <w:iCs/>
                          <w:color w:val="000000" w:themeColor="text1"/>
                          <w:lang w:val="en-US"/>
                        </w:rPr>
                      </m:ctrlPr>
                    </m:sSubPr>
                    <m:e>
                      <m:r>
                        <m:rPr>
                          <m:sty m:val="b"/>
                        </m:rPr>
                        <w:rPr>
                          <w:rFonts w:ascii="Cambria Math" w:eastAsiaTheme="minorEastAsia" w:hAnsi="Cambria Math"/>
                          <w:color w:val="000000" w:themeColor="text1"/>
                          <w:lang w:val="en-US"/>
                        </w:rPr>
                        <m:t>B</m:t>
                      </m:r>
                    </m:e>
                    <m:sub>
                      <m:r>
                        <m:rPr>
                          <m:sty m:val="b"/>
                        </m:rPr>
                        <w:rPr>
                          <w:rFonts w:ascii="Cambria Math" w:eastAsiaTheme="minorEastAsia" w:hAnsi="Cambria Math"/>
                          <w:color w:val="000000" w:themeColor="text1"/>
                          <w:lang w:val="en-US"/>
                        </w:rPr>
                        <m:t>c</m:t>
                      </m:r>
                    </m:sub>
                  </m:sSub>
                  <m:ctrlPr>
                    <w:rPr>
                      <w:rFonts w:ascii="Cambria Math" w:hAnsi="Cambria Math"/>
                      <w:b/>
                      <w:bCs/>
                      <w:i/>
                      <w:iCs/>
                      <w:color w:val="000000" w:themeColor="text1"/>
                      <w:lang w:val="en-US"/>
                    </w:rPr>
                  </m:ctrlPr>
                </m:e>
              </m:d>
            </m:den>
          </m:f>
          <m:r>
            <m:rPr>
              <m:sty m:val="bi"/>
            </m:rPr>
            <w:rPr>
              <w:rFonts w:ascii="Cambria Math" w:hAnsi="Cambria Math"/>
              <w:color w:val="000000" w:themeColor="text1"/>
              <w:lang w:val="en-US"/>
            </w:rPr>
            <m:t>)</m:t>
          </m:r>
        </m:oMath>
      </m:oMathPara>
    </w:p>
    <w:p w:rsidR="008D4BF8" w:rsidRPr="00133E2F" w:rsidRDefault="008D4BF8" w:rsidP="008D4BF8">
      <w:pPr>
        <w:spacing w:line="480" w:lineRule="auto"/>
        <w:ind w:right="-279"/>
        <w:jc w:val="both"/>
        <w:rPr>
          <w:rFonts w:eastAsiaTheme="minorEastAsia"/>
          <w:iCs/>
          <w:color w:val="000000" w:themeColor="text1"/>
          <w:lang w:val="en-US"/>
        </w:rPr>
      </w:pPr>
      <w:r w:rsidRPr="00FA14B1">
        <w:rPr>
          <w:color w:val="000000" w:themeColor="text1"/>
          <w:lang w:val="en-US"/>
        </w:rPr>
        <w:t xml:space="preserve">where </w:t>
      </w:r>
      <m:oMath>
        <m:sSub>
          <m:sSubPr>
            <m:ctrlPr>
              <w:rPr>
                <w:rFonts w:ascii="Cambria Math" w:hAnsi="Cambria Math"/>
                <w:b/>
                <w:bCs/>
                <w:iCs/>
                <w:color w:val="000000" w:themeColor="text1"/>
                <w:lang w:val="en-US"/>
              </w:rPr>
            </m:ctrlPr>
          </m:sSubPr>
          <m:e>
            <m:acc>
              <m:accPr>
                <m:ctrlPr>
                  <w:rPr>
                    <w:rFonts w:ascii="Cambria Math" w:hAnsi="Cambria Math"/>
                    <w:b/>
                    <w:bCs/>
                    <w:iCs/>
                    <w:color w:val="000000" w:themeColor="text1"/>
                    <w:lang w:val="en-US"/>
                  </w:rPr>
                </m:ctrlPr>
              </m:accPr>
              <m:e>
                <m:r>
                  <m:rPr>
                    <m:sty m:val="b"/>
                  </m:rPr>
                  <w:rPr>
                    <w:rFonts w:ascii="Cambria Math" w:hAnsi="Cambria Math"/>
                    <w:color w:val="000000" w:themeColor="text1"/>
                    <w:lang w:val="en-US"/>
                  </w:rPr>
                  <m:t>B</m:t>
                </m:r>
              </m:e>
            </m:acc>
          </m:e>
          <m:sub>
            <m:r>
              <m:rPr>
                <m:sty m:val="b"/>
              </m:rPr>
              <w:rPr>
                <w:rFonts w:ascii="Cambria Math" w:hAnsi="Cambria Math"/>
                <w:color w:val="000000" w:themeColor="text1"/>
                <w:lang w:val="en-US"/>
              </w:rPr>
              <m:t>c|</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sub>
        </m:sSub>
      </m:oMath>
      <w:r w:rsidRPr="00CF52B5">
        <w:rPr>
          <w:rFonts w:eastAsiaTheme="minorEastAsia"/>
          <w:b/>
          <w:bCs/>
          <w:iCs/>
          <w:color w:val="000000" w:themeColor="text1"/>
          <w:lang w:val="en-US"/>
        </w:rPr>
        <w:t xml:space="preserve"> </w:t>
      </w:r>
      <w:r w:rsidRPr="00133E2F">
        <w:rPr>
          <w:color w:val="000000" w:themeColor="text1"/>
          <w:lang w:val="en-US"/>
        </w:rPr>
        <w:t xml:space="preserve">are the predicted values of </w:t>
      </w:r>
      <w:proofErr w:type="spellStart"/>
      <w:r w:rsidRPr="00133E2F">
        <w:rPr>
          <w:b/>
          <w:bCs/>
          <w:color w:val="000000" w:themeColor="text1"/>
          <w:lang w:val="en-US"/>
        </w:rPr>
        <w:t>B</w:t>
      </w:r>
      <w:r w:rsidRPr="00B10736">
        <w:rPr>
          <w:b/>
          <w:bCs/>
          <w:color w:val="000000" w:themeColor="text1"/>
          <w:vertAlign w:val="subscript"/>
          <w:lang w:val="en-US"/>
        </w:rPr>
        <w:t>c</w:t>
      </w:r>
      <w:proofErr w:type="spellEnd"/>
      <w:r w:rsidRPr="00B10736">
        <w:rPr>
          <w:rFonts w:eastAsiaTheme="minorEastAsia"/>
          <w:iCs/>
          <w:color w:val="000000" w:themeColor="text1"/>
          <w:lang w:val="en-US"/>
        </w:rPr>
        <w:t xml:space="preserve"> for the model containing only the compositional predictors, </w:t>
      </w:r>
      <m:oMath>
        <m:sSub>
          <m:sSubPr>
            <m:ctrlPr>
              <w:rPr>
                <w:rFonts w:ascii="Cambria Math" w:hAnsi="Cambria Math"/>
                <w:i/>
                <w:color w:val="000000" w:themeColor="text1"/>
                <w:lang w:val="en-US"/>
              </w:rPr>
            </m:ctrlPr>
          </m:sSubPr>
          <m:e>
            <m:r>
              <w:rPr>
                <w:rFonts w:ascii="Cambria Math" w:hAnsi="Cambria Math"/>
                <w:color w:val="000000" w:themeColor="text1"/>
                <w:lang w:val="en-US"/>
              </w:rPr>
              <m:t>p</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2</m:t>
                </m:r>
              </m:sub>
            </m:sSub>
          </m:sub>
        </m:sSub>
      </m:oMath>
      <w:r w:rsidRPr="00133E2F">
        <w:rPr>
          <w:rFonts w:eastAsiaTheme="minorEastAsia"/>
          <w:iCs/>
          <w:color w:val="000000" w:themeColor="text1"/>
          <w:lang w:val="en-US"/>
        </w:rPr>
        <w:t xml:space="preserve"> is the number of compositions predictors and </w:t>
      </w:r>
      <m:oMath>
        <m:sSubSup>
          <m:sSubSupPr>
            <m:ctrlPr>
              <w:rPr>
                <w:rFonts w:ascii="Cambria Math" w:hAnsi="Cambria Math"/>
                <w:b/>
                <w:bCs/>
                <w:iCs/>
                <w:color w:val="000000" w:themeColor="text1"/>
                <w:lang w:val="en-US"/>
              </w:rPr>
            </m:ctrlPr>
          </m:sSubSupPr>
          <m:e>
            <m:r>
              <m:rPr>
                <m:sty m:val="bi"/>
              </m:rPr>
              <w:rPr>
                <w:rFonts w:ascii="Cambria Math" w:hAnsi="Cambria Math"/>
                <w:color w:val="000000" w:themeColor="text1"/>
                <w:lang w:val="en-US"/>
              </w:rPr>
              <m:t>R</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2</m:t>
                </m:r>
              </m:sub>
            </m:sSub>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oMath>
      <w:r w:rsidRPr="00133E2F">
        <w:rPr>
          <w:rFonts w:eastAsiaTheme="minorEastAsia"/>
          <w:b/>
          <w:bCs/>
          <w:iCs/>
          <w:color w:val="000000" w:themeColor="text1"/>
          <w:lang w:val="en-US"/>
        </w:rPr>
        <w:t xml:space="preserve"> </w:t>
      </w:r>
      <w:r w:rsidRPr="00133E2F">
        <w:rPr>
          <w:rFonts w:eastAsiaTheme="minorEastAsia"/>
          <w:iCs/>
          <w:color w:val="000000" w:themeColor="text1"/>
          <w:lang w:val="en-US"/>
        </w:rPr>
        <w:t xml:space="preserve">the adjusted coefficient of determination of the model with only the compositional predictors </w:t>
      </w:r>
      <w:r w:rsidRPr="00133E2F">
        <w:rPr>
          <w:rFonts w:eastAsiaTheme="minorEastAsia"/>
          <w:b/>
          <w:bCs/>
          <w:iCs/>
          <w:color w:val="000000" w:themeColor="text1"/>
          <w:lang w:val="en-US"/>
        </w:rPr>
        <w:t>X</w:t>
      </w:r>
      <w:r w:rsidRPr="00133E2F">
        <w:rPr>
          <w:rFonts w:eastAsiaTheme="minorEastAsia"/>
          <w:b/>
          <w:bCs/>
          <w:iCs/>
          <w:color w:val="000000" w:themeColor="text1"/>
          <w:vertAlign w:val="subscript"/>
          <w:lang w:val="en-US"/>
        </w:rPr>
        <w:t>2</w:t>
      </w:r>
      <w:r w:rsidRPr="00133E2F">
        <w:rPr>
          <w:rFonts w:eastAsiaTheme="minorEastAsia"/>
          <w:iCs/>
          <w:color w:val="000000" w:themeColor="text1"/>
          <w:lang w:val="en-US"/>
        </w:rPr>
        <w:t>.  The unique contributions of the environment (fraction [a] here) and species composition (fraction [c] here) are calculated as:</w:t>
      </w:r>
    </w:p>
    <w:p w:rsidR="008D4BF8" w:rsidRPr="00CF52B5" w:rsidRDefault="00FB1090" w:rsidP="008D4BF8">
      <w:pPr>
        <w:spacing w:line="480" w:lineRule="auto"/>
        <w:ind w:right="-279"/>
        <w:jc w:val="both"/>
        <w:rPr>
          <w:rFonts w:eastAsiaTheme="minorEastAsia"/>
          <w:b/>
          <w:bCs/>
          <w:iCs/>
          <w:color w:val="000000" w:themeColor="text1"/>
          <w:lang w:val="en-US"/>
        </w:rPr>
      </w:pPr>
      <m:oMathPara>
        <m:oMathParaPr>
          <m:jc m:val="left"/>
        </m:oMathParaPr>
        <m:oMath>
          <m:sSubSup>
            <m:sSubSupPr>
              <m:ctrlPr>
                <w:rPr>
                  <w:rFonts w:ascii="Cambria Math" w:hAnsi="Cambria Math"/>
                  <w:b/>
                  <w:bCs/>
                  <w:iCs/>
                  <w:color w:val="000000" w:themeColor="text1"/>
                  <w:lang w:val="en-US"/>
                </w:rPr>
              </m:ctrlPr>
            </m:sSubSupPr>
            <m:e>
              <m:d>
                <m:dPr>
                  <m:begChr m:val="["/>
                  <m:endChr m:val="]"/>
                  <m:ctrlPr>
                    <w:rPr>
                      <w:rFonts w:ascii="Cambria Math" w:hAnsi="Cambria Math"/>
                      <w:color w:val="000000" w:themeColor="text1"/>
                      <w:lang w:val="en-US"/>
                    </w:rPr>
                  </m:ctrlPr>
                </m:dPr>
                <m:e>
                  <m:r>
                    <m:rPr>
                      <m:sty m:val="p"/>
                    </m:rPr>
                    <w:rPr>
                      <w:rFonts w:ascii="Cambria Math" w:hAnsi="Cambria Math"/>
                      <w:color w:val="000000" w:themeColor="text1"/>
                      <w:lang w:val="en-US"/>
                    </w:rPr>
                    <m:t>a</m:t>
                  </m:r>
                </m:e>
              </m:d>
              <m:r>
                <m:rPr>
                  <m:sty m:val="p"/>
                </m:rPr>
                <w:rPr>
                  <w:rFonts w:ascii="Cambria Math" w:hAnsi="Cambria Math"/>
                  <w:color w:val="000000" w:themeColor="text1"/>
                  <w:lang w:val="en-US"/>
                </w:rPr>
                <m:t>=</m:t>
              </m:r>
              <m:r>
                <m:rPr>
                  <m:sty m:val="bi"/>
                </m:rPr>
                <w:rPr>
                  <w:rFonts w:ascii="Cambria Math" w:hAnsi="Cambria Math"/>
                  <w:color w:val="000000" w:themeColor="text1"/>
                  <w:lang w:val="en-US"/>
                </w:rPr>
                <m:t xml:space="preserve"> </m:t>
              </m:r>
              <m:sSubSup>
                <m:sSubSupPr>
                  <m:ctrlPr>
                    <w:rPr>
                      <w:rFonts w:ascii="Cambria Math" w:hAnsi="Cambria Math"/>
                      <w:b/>
                      <w:bCs/>
                      <w:iCs/>
                      <w:color w:val="000000" w:themeColor="text1"/>
                      <w:lang w:val="en-US"/>
                    </w:rPr>
                  </m:ctrlPr>
                </m:sSubSupPr>
                <m:e>
                  <m:r>
                    <m:rPr>
                      <m:sty m:val="bi"/>
                    </m:rPr>
                    <w:rPr>
                      <w:rFonts w:ascii="Cambria Math" w:hAnsi="Cambria Math"/>
                      <w:color w:val="000000" w:themeColor="text1"/>
                      <w:lang w:val="en-US"/>
                    </w:rPr>
                    <m:t>R</m:t>
                  </m:r>
                </m:e>
                <m:sub>
                  <m:d>
                    <m:dPr>
                      <m:begChr m:val="["/>
                      <m:endChr m:val="]"/>
                      <m:ctrlPr>
                        <w:rPr>
                          <w:rFonts w:ascii="Cambria Math" w:hAnsi="Cambria Math"/>
                          <w:b/>
                          <w:bCs/>
                          <w:iCs/>
                          <w:color w:val="000000" w:themeColor="text1"/>
                          <w:lang w:val="en-US"/>
                        </w:rPr>
                      </m:ctrlPr>
                    </m:dPr>
                    <m:e>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e>
                  </m:d>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r>
                <m:rPr>
                  <m:sty m:val="bi"/>
                </m:rPr>
                <w:rPr>
                  <w:rFonts w:ascii="Cambria Math" w:hAnsi="Cambria Math"/>
                  <w:color w:val="000000" w:themeColor="text1"/>
                  <w:lang w:val="en-US"/>
                </w:rPr>
                <m:t>- R</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2</m:t>
                  </m:r>
                </m:sub>
              </m:sSub>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oMath>
      </m:oMathPara>
    </w:p>
    <w:p w:rsidR="008D4BF8" w:rsidRPr="00CF52B5" w:rsidRDefault="00FB1090" w:rsidP="008D4BF8">
      <w:pPr>
        <w:spacing w:line="480" w:lineRule="auto"/>
        <w:ind w:right="-279"/>
        <w:jc w:val="both"/>
        <w:rPr>
          <w:rFonts w:eastAsiaTheme="minorEastAsia"/>
          <w:b/>
          <w:bCs/>
          <w:iCs/>
          <w:color w:val="000000" w:themeColor="text1"/>
          <w:lang w:val="en-US"/>
        </w:rPr>
      </w:pPr>
      <m:oMathPara>
        <m:oMathParaPr>
          <m:jc m:val="left"/>
        </m:oMathParaPr>
        <m:oMath>
          <m:sSubSup>
            <m:sSubSupPr>
              <m:ctrlPr>
                <w:rPr>
                  <w:rFonts w:ascii="Cambria Math" w:hAnsi="Cambria Math"/>
                  <w:b/>
                  <w:bCs/>
                  <w:iCs/>
                  <w:color w:val="000000" w:themeColor="text1"/>
                  <w:lang w:val="en-US"/>
                </w:rPr>
              </m:ctrlPr>
            </m:sSubSupPr>
            <m:e>
              <m:d>
                <m:dPr>
                  <m:begChr m:val="["/>
                  <m:endChr m:val="]"/>
                  <m:ctrlPr>
                    <w:rPr>
                      <w:rFonts w:ascii="Cambria Math" w:hAnsi="Cambria Math"/>
                      <w:color w:val="000000" w:themeColor="text1"/>
                      <w:lang w:val="en-US"/>
                    </w:rPr>
                  </m:ctrlPr>
                </m:dPr>
                <m:e>
                  <m:r>
                    <m:rPr>
                      <m:sty m:val="p"/>
                    </m:rPr>
                    <w:rPr>
                      <w:rFonts w:ascii="Cambria Math" w:hAnsi="Cambria Math"/>
                      <w:color w:val="000000" w:themeColor="text1"/>
                      <w:lang w:val="en-US"/>
                    </w:rPr>
                    <m:t>c</m:t>
                  </m:r>
                </m:e>
              </m:d>
              <m:r>
                <m:rPr>
                  <m:sty m:val="p"/>
                </m:rPr>
                <w:rPr>
                  <w:rFonts w:ascii="Cambria Math" w:hAnsi="Cambria Math"/>
                  <w:color w:val="000000" w:themeColor="text1"/>
                  <w:lang w:val="en-US"/>
                </w:rPr>
                <m:t>=</m:t>
              </m:r>
              <m:r>
                <m:rPr>
                  <m:sty m:val="bi"/>
                </m:rPr>
                <w:rPr>
                  <w:rFonts w:ascii="Cambria Math" w:hAnsi="Cambria Math"/>
                  <w:color w:val="000000" w:themeColor="text1"/>
                  <w:lang w:val="en-US"/>
                </w:rPr>
                <m:t xml:space="preserve"> </m:t>
              </m:r>
              <m:sSubSup>
                <m:sSubSupPr>
                  <m:ctrlPr>
                    <w:rPr>
                      <w:rFonts w:ascii="Cambria Math" w:hAnsi="Cambria Math"/>
                      <w:b/>
                      <w:bCs/>
                      <w:iCs/>
                      <w:color w:val="000000" w:themeColor="text1"/>
                      <w:lang w:val="en-US"/>
                    </w:rPr>
                  </m:ctrlPr>
                </m:sSubSupPr>
                <m:e>
                  <m:r>
                    <m:rPr>
                      <m:sty m:val="bi"/>
                    </m:rPr>
                    <w:rPr>
                      <w:rFonts w:ascii="Cambria Math" w:hAnsi="Cambria Math"/>
                      <w:color w:val="000000" w:themeColor="text1"/>
                      <w:lang w:val="en-US"/>
                    </w:rPr>
                    <m:t>R</m:t>
                  </m:r>
                </m:e>
                <m:sub>
                  <m:d>
                    <m:dPr>
                      <m:begChr m:val="["/>
                      <m:endChr m:val="]"/>
                      <m:ctrlPr>
                        <w:rPr>
                          <w:rFonts w:ascii="Cambria Math" w:hAnsi="Cambria Math"/>
                          <w:b/>
                          <w:bCs/>
                          <w:iCs/>
                          <w:color w:val="000000" w:themeColor="text1"/>
                          <w:lang w:val="en-US"/>
                        </w:rPr>
                      </m:ctrlPr>
                    </m:dPr>
                    <m:e>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e>
                  </m:d>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r>
                <m:rPr>
                  <m:sty m:val="bi"/>
                </m:rPr>
                <w:rPr>
                  <w:rFonts w:ascii="Cambria Math" w:hAnsi="Cambria Math"/>
                  <w:color w:val="000000" w:themeColor="text1"/>
                  <w:lang w:val="en-US"/>
                </w:rPr>
                <m:t>- R</m:t>
              </m:r>
            </m:e>
            <m:sub>
              <m:sSub>
                <m:sSubPr>
                  <m:ctrlPr>
                    <w:rPr>
                      <w:rFonts w:ascii="Cambria Math" w:hAnsi="Cambria Math"/>
                      <w:b/>
                      <w:bCs/>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1</m:t>
                  </m:r>
                </m:sub>
              </m:sSub>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oMath>
      </m:oMathPara>
    </w:p>
    <w:p w:rsidR="008D4BF8" w:rsidRPr="00133E2F" w:rsidRDefault="008D4BF8" w:rsidP="008D4BF8">
      <w:pPr>
        <w:spacing w:line="480" w:lineRule="auto"/>
        <w:ind w:right="-279"/>
        <w:jc w:val="both"/>
        <w:rPr>
          <w:rFonts w:eastAsiaTheme="minorEastAsia"/>
          <w:iCs/>
          <w:color w:val="000000" w:themeColor="text1"/>
          <w:lang w:val="en-US"/>
        </w:rPr>
      </w:pPr>
      <w:r w:rsidRPr="00133E2F">
        <w:rPr>
          <w:rFonts w:eastAsiaTheme="minorEastAsia"/>
          <w:iCs/>
          <w:color w:val="000000" w:themeColor="text1"/>
          <w:lang w:val="en-US"/>
        </w:rPr>
        <w:tab/>
        <w:t>The shared contribution (fraction [b] here) is:</w:t>
      </w:r>
    </w:p>
    <w:p w:rsidR="008D4BF8" w:rsidRPr="00CF52B5" w:rsidRDefault="00FB1090" w:rsidP="008D4BF8">
      <w:pPr>
        <w:spacing w:line="480" w:lineRule="auto"/>
        <w:ind w:right="-279"/>
        <w:jc w:val="both"/>
        <w:rPr>
          <w:rFonts w:eastAsiaTheme="minorEastAsia"/>
          <w:b/>
          <w:bCs/>
          <w:color w:val="000000" w:themeColor="text1"/>
          <w:lang w:val="en-US"/>
        </w:rPr>
      </w:pPr>
      <m:oMathPara>
        <m:oMathParaPr>
          <m:jc m:val="left"/>
        </m:oMathParaPr>
        <m:oMath>
          <m:d>
            <m:dPr>
              <m:begChr m:val="["/>
              <m:endChr m:val="]"/>
              <m:ctrlPr>
                <w:rPr>
                  <w:rFonts w:ascii="Cambria Math" w:hAnsi="Cambria Math"/>
                  <w:color w:val="000000" w:themeColor="text1"/>
                  <w:lang w:val="en-US"/>
                </w:rPr>
              </m:ctrlPr>
            </m:dPr>
            <m:e>
              <m:r>
                <m:rPr>
                  <m:sty m:val="p"/>
                </m:rPr>
                <w:rPr>
                  <w:rFonts w:ascii="Cambria Math" w:hAnsi="Cambria Math"/>
                  <w:color w:val="000000" w:themeColor="text1"/>
                  <w:lang w:val="en-US"/>
                </w:rPr>
                <m:t>b</m:t>
              </m:r>
            </m:e>
          </m:d>
          <m:r>
            <m:rPr>
              <m:sty m:val="p"/>
            </m:rPr>
            <w:rPr>
              <w:rFonts w:ascii="Cambria Math" w:hAnsi="Cambria Math"/>
              <w:color w:val="000000" w:themeColor="text1"/>
              <w:lang w:val="en-US"/>
            </w:rPr>
            <m:t>=</m:t>
          </m:r>
          <m:r>
            <m:rPr>
              <m:sty m:val="bi"/>
            </m:rPr>
            <w:rPr>
              <w:rFonts w:ascii="Cambria Math" w:hAnsi="Cambria Math"/>
              <w:color w:val="000000" w:themeColor="text1"/>
              <w:lang w:val="en-US"/>
            </w:rPr>
            <m:t xml:space="preserve"> </m:t>
          </m:r>
          <m:sSubSup>
            <m:sSubSupPr>
              <m:ctrlPr>
                <w:rPr>
                  <w:rFonts w:ascii="Cambria Math" w:hAnsi="Cambria Math"/>
                  <w:b/>
                  <w:bCs/>
                  <w:iCs/>
                  <w:color w:val="000000" w:themeColor="text1"/>
                  <w:lang w:val="en-US"/>
                </w:rPr>
              </m:ctrlPr>
            </m:sSubSupPr>
            <m:e>
              <m:r>
                <m:rPr>
                  <m:sty m:val="bi"/>
                </m:rPr>
                <w:rPr>
                  <w:rFonts w:ascii="Cambria Math" w:hAnsi="Cambria Math"/>
                  <w:color w:val="000000" w:themeColor="text1"/>
                  <w:lang w:val="en-US"/>
                </w:rPr>
                <m:t>R</m:t>
              </m:r>
            </m:e>
            <m:sub>
              <m:d>
                <m:dPr>
                  <m:begChr m:val="["/>
                  <m:endChr m:val="]"/>
                  <m:ctrlPr>
                    <w:rPr>
                      <w:rFonts w:ascii="Cambria Math" w:hAnsi="Cambria Math"/>
                      <w:b/>
                      <w:bCs/>
                      <w:iCs/>
                      <w:color w:val="000000" w:themeColor="text1"/>
                      <w:lang w:val="en-US"/>
                    </w:rPr>
                  </m:ctrlPr>
                </m:dPr>
                <m:e>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1</m:t>
                      </m:r>
                    </m:sub>
                  </m:sSub>
                  <m:r>
                    <m:rPr>
                      <m:sty m:val="b"/>
                    </m:rPr>
                    <w:rPr>
                      <w:rFonts w:ascii="Cambria Math" w:hAnsi="Cambria Math"/>
                      <w:color w:val="000000" w:themeColor="text1"/>
                      <w:lang w:val="en-US"/>
                    </w:rPr>
                    <m:t>,</m:t>
                  </m:r>
                  <m:sSub>
                    <m:sSubPr>
                      <m:ctrlPr>
                        <w:rPr>
                          <w:rFonts w:ascii="Cambria Math" w:hAnsi="Cambria Math"/>
                          <w:b/>
                          <w:bCs/>
                          <w:iCs/>
                          <w:color w:val="000000" w:themeColor="text1"/>
                          <w:lang w:val="en-US"/>
                        </w:rPr>
                      </m:ctrlPr>
                    </m:sSubPr>
                    <m:e>
                      <m:r>
                        <m:rPr>
                          <m:sty m:val="b"/>
                        </m:rPr>
                        <w:rPr>
                          <w:rFonts w:ascii="Cambria Math" w:hAnsi="Cambria Math"/>
                          <w:color w:val="000000" w:themeColor="text1"/>
                          <w:lang w:val="en-US"/>
                        </w:rPr>
                        <m:t>X</m:t>
                      </m:r>
                    </m:e>
                    <m:sub>
                      <m:r>
                        <m:rPr>
                          <m:sty m:val="b"/>
                        </m:rPr>
                        <w:rPr>
                          <w:rFonts w:ascii="Cambria Math" w:hAnsi="Cambria Math"/>
                          <w:color w:val="000000" w:themeColor="text1"/>
                          <w:lang w:val="en-US"/>
                        </w:rPr>
                        <m:t>2</m:t>
                      </m:r>
                    </m:sub>
                  </m:sSub>
                </m:e>
              </m:d>
              <m:r>
                <m:rPr>
                  <m:sty m:val="p"/>
                </m:rPr>
                <w:rPr>
                  <w:rFonts w:ascii="Cambria Math" w:hAnsi="Cambria Math"/>
                  <w:color w:val="000000" w:themeColor="text1"/>
                  <w:lang w:val="en-US"/>
                </w:rPr>
                <m:t>adj</m:t>
              </m:r>
            </m:sub>
            <m:sup>
              <m:r>
                <m:rPr>
                  <m:sty m:val="bi"/>
                </m:rPr>
                <w:rPr>
                  <w:rFonts w:ascii="Cambria Math" w:hAnsi="Cambria Math"/>
                  <w:color w:val="000000" w:themeColor="text1"/>
                  <w:lang w:val="en-US"/>
                </w:rPr>
                <m:t>2</m:t>
              </m:r>
            </m:sup>
          </m:sSubSup>
          <m:r>
            <m:rPr>
              <m:sty m:val="b"/>
            </m:rPr>
            <w:rPr>
              <w:rFonts w:ascii="Cambria Math" w:hAnsi="Cambria Math"/>
              <w:color w:val="000000" w:themeColor="text1"/>
              <w:lang w:val="en-US"/>
            </w:rPr>
            <m:t>-[a]</m:t>
          </m:r>
          <m:r>
            <m:rPr>
              <m:sty m:val="b"/>
            </m:rPr>
            <w:rPr>
              <w:rFonts w:ascii="Cambria Math" w:eastAsiaTheme="minorEastAsia" w:hAnsi="Cambria Math"/>
              <w:color w:val="000000" w:themeColor="text1"/>
              <w:lang w:val="en-US"/>
            </w:rPr>
            <m:t>-[c]</m:t>
          </m:r>
        </m:oMath>
      </m:oMathPara>
    </w:p>
    <w:p w:rsidR="008D4BF8" w:rsidRPr="00FA14B1" w:rsidRDefault="008D4BF8" w:rsidP="008D4BF8">
      <w:pPr>
        <w:spacing w:line="480" w:lineRule="auto"/>
        <w:ind w:right="-279" w:firstLine="708"/>
        <w:jc w:val="both"/>
        <w:rPr>
          <w:color w:val="000000" w:themeColor="text1"/>
          <w:lang w:val="en-US"/>
        </w:rPr>
      </w:pPr>
      <w:r w:rsidRPr="00FA14B1">
        <w:rPr>
          <w:color w:val="000000" w:themeColor="text1"/>
          <w:lang w:val="en-US"/>
        </w:rPr>
        <w:lastRenderedPageBreak/>
        <w:t xml:space="preserve">The </w:t>
      </w:r>
      <w:r>
        <w:rPr>
          <w:color w:val="000000" w:themeColor="text1"/>
          <w:lang w:val="en-US"/>
        </w:rPr>
        <w:t>T</w:t>
      </w:r>
      <w:r w:rsidRPr="00FA14B1">
        <w:rPr>
          <w:color w:val="000000" w:themeColor="text1"/>
          <w:lang w:val="en-US"/>
        </w:rPr>
        <w:t xml:space="preserve">able S1 below reports the original (Fig. 2) and the estimated values via the GLS procedure for the species </w:t>
      </w:r>
      <w:r>
        <w:rPr>
          <w:color w:val="000000" w:themeColor="text1"/>
          <w:lang w:val="en-US"/>
        </w:rPr>
        <w:t>composition</w:t>
      </w:r>
      <w:r w:rsidRPr="00FA14B1">
        <w:rPr>
          <w:color w:val="000000" w:themeColor="text1"/>
          <w:lang w:val="en-US"/>
        </w:rPr>
        <w:t xml:space="preserve">s based on presence-absence (Fig. 2b) and biomass data (Fig. 2c).  As such, </w:t>
      </w:r>
      <w:r w:rsidRPr="00FA14B1">
        <w:rPr>
          <w:b/>
          <w:bCs/>
          <w:color w:val="000000" w:themeColor="text1"/>
          <w:lang w:val="en-US"/>
        </w:rPr>
        <w:t>X</w:t>
      </w:r>
      <w:r w:rsidRPr="00FA14B1">
        <w:rPr>
          <w:b/>
          <w:bCs/>
          <w:color w:val="000000" w:themeColor="text1"/>
          <w:vertAlign w:val="subscript"/>
          <w:lang w:val="en-US"/>
        </w:rPr>
        <w:t>2</w:t>
      </w:r>
      <w:r w:rsidRPr="00FA14B1">
        <w:rPr>
          <w:b/>
          <w:bCs/>
          <w:color w:val="000000" w:themeColor="text1"/>
          <w:lang w:val="en-US"/>
        </w:rPr>
        <w:t xml:space="preserve"> </w:t>
      </w:r>
      <w:r w:rsidRPr="00FA14B1">
        <w:rPr>
          <w:color w:val="000000" w:themeColor="text1"/>
          <w:lang w:val="en-US"/>
        </w:rPr>
        <w:t xml:space="preserve">above was composed of either species </w:t>
      </w:r>
      <w:r>
        <w:rPr>
          <w:color w:val="000000" w:themeColor="text1"/>
          <w:lang w:val="en-US"/>
        </w:rPr>
        <w:t>composition</w:t>
      </w:r>
      <w:r w:rsidRPr="00FA14B1">
        <w:rPr>
          <w:color w:val="000000" w:themeColor="text1"/>
          <w:lang w:val="en-US"/>
        </w:rPr>
        <w:t>al predictors (</w:t>
      </w:r>
      <w:proofErr w:type="spellStart"/>
      <w:r w:rsidRPr="00FA14B1">
        <w:rPr>
          <w:color w:val="000000" w:themeColor="text1"/>
          <w:lang w:val="en-US"/>
        </w:rPr>
        <w:t>PCoA</w:t>
      </w:r>
      <w:proofErr w:type="spellEnd"/>
      <w:r w:rsidRPr="00FA14B1">
        <w:rPr>
          <w:color w:val="000000" w:themeColor="text1"/>
          <w:lang w:val="en-US"/>
        </w:rPr>
        <w:t xml:space="preserve"> axes) based on presence-absence or biomass.  We did not consider the combination of both presence-absence and biomass (Fig. 2d) as results were </w:t>
      </w:r>
      <w:r>
        <w:rPr>
          <w:color w:val="000000" w:themeColor="text1"/>
          <w:lang w:val="en-US"/>
        </w:rPr>
        <w:t>equivalent</w:t>
      </w:r>
      <w:r w:rsidRPr="00FA14B1">
        <w:rPr>
          <w:color w:val="000000" w:themeColor="text1"/>
          <w:lang w:val="en-US"/>
        </w:rPr>
        <w:t>.</w:t>
      </w:r>
    </w:p>
    <w:p w:rsidR="008D4BF8" w:rsidRPr="00FA14B1" w:rsidRDefault="008D4BF8" w:rsidP="008D4BF8">
      <w:pPr>
        <w:spacing w:line="480" w:lineRule="auto"/>
        <w:ind w:right="-279" w:firstLine="708"/>
        <w:jc w:val="both"/>
        <w:rPr>
          <w:color w:val="000000" w:themeColor="text1"/>
          <w:lang w:val="en-US"/>
        </w:rPr>
      </w:pPr>
      <w:r w:rsidRPr="00FA14B1">
        <w:rPr>
          <w:color w:val="000000" w:themeColor="text1"/>
          <w:lang w:val="en-US"/>
        </w:rPr>
        <w:t>Not only the estimates for the importance of species composition remained higher than of the environment it increased in relation to the original variation partitioning values</w:t>
      </w:r>
      <w:r>
        <w:rPr>
          <w:color w:val="000000" w:themeColor="text1"/>
          <w:lang w:val="en-US"/>
        </w:rPr>
        <w:t xml:space="preserve"> (Table S1; original values in parenthesis)</w:t>
      </w:r>
      <w:r w:rsidRPr="00FA14B1">
        <w:rPr>
          <w:color w:val="000000" w:themeColor="text1"/>
          <w:lang w:val="en-US"/>
        </w:rPr>
        <w:t>.  This is because the shared fraction between the environment and species compositional axes decreased in the GLM analysis in relation to the original variation partitioning. While environment</w:t>
      </w:r>
      <w:r>
        <w:rPr>
          <w:color w:val="000000" w:themeColor="text1"/>
          <w:lang w:val="en-US"/>
        </w:rPr>
        <w:t>al features</w:t>
      </w:r>
      <w:r w:rsidRPr="00FA14B1">
        <w:rPr>
          <w:color w:val="000000" w:themeColor="text1"/>
          <w:lang w:val="en-US"/>
        </w:rPr>
        <w:t xml:space="preserve"> to </w:t>
      </w:r>
      <w:r>
        <w:rPr>
          <w:color w:val="000000" w:themeColor="text1"/>
          <w:lang w:val="en-US"/>
        </w:rPr>
        <w:t>serve as</w:t>
      </w:r>
      <w:r w:rsidRPr="00FA14B1">
        <w:rPr>
          <w:color w:val="000000" w:themeColor="text1"/>
          <w:lang w:val="en-US"/>
        </w:rPr>
        <w:t xml:space="preserve"> relevant predictors of species distributions (RDA results in main text) need to be associated to particular </w:t>
      </w:r>
      <w:r>
        <w:rPr>
          <w:color w:val="000000" w:themeColor="text1"/>
          <w:lang w:val="en-US"/>
        </w:rPr>
        <w:t>composition</w:t>
      </w:r>
      <w:r w:rsidRPr="00FA14B1">
        <w:rPr>
          <w:color w:val="000000" w:themeColor="text1"/>
          <w:lang w:val="en-US"/>
        </w:rPr>
        <w:t xml:space="preserve">s of species (an obvious premise), there can be many </w:t>
      </w:r>
      <w:r>
        <w:rPr>
          <w:color w:val="000000" w:themeColor="text1"/>
          <w:lang w:val="en-US"/>
        </w:rPr>
        <w:t>composition</w:t>
      </w:r>
      <w:r w:rsidRPr="00FA14B1">
        <w:rPr>
          <w:color w:val="000000" w:themeColor="text1"/>
          <w:lang w:val="en-US"/>
        </w:rPr>
        <w:t xml:space="preserve">s of species that can lead to similar (or different) values of biomass conservation (Fig. S1).  As such, when using weights based on compositional differences among lake communities, the shared contribution is reduced, and the contribution of species </w:t>
      </w:r>
      <w:r>
        <w:rPr>
          <w:color w:val="000000" w:themeColor="text1"/>
          <w:lang w:val="en-US"/>
        </w:rPr>
        <w:t>composition</w:t>
      </w:r>
      <w:r w:rsidRPr="00FA14B1">
        <w:rPr>
          <w:color w:val="000000" w:themeColor="text1"/>
          <w:lang w:val="en-US"/>
        </w:rPr>
        <w:t xml:space="preserve">s increase.  This demonstrates that </w:t>
      </w:r>
      <w:r>
        <w:rPr>
          <w:color w:val="000000" w:themeColor="text1"/>
          <w:lang w:val="en-US"/>
        </w:rPr>
        <w:t>species compositions</w:t>
      </w:r>
      <w:r w:rsidRPr="00FA14B1">
        <w:rPr>
          <w:color w:val="000000" w:themeColor="text1"/>
          <w:lang w:val="en-US"/>
        </w:rPr>
        <w:t xml:space="preserve"> </w:t>
      </w:r>
      <w:r>
        <w:rPr>
          <w:color w:val="000000" w:themeColor="text1"/>
          <w:lang w:val="en-US"/>
        </w:rPr>
        <w:t>mediate</w:t>
      </w:r>
      <w:r w:rsidRPr="00FA14B1">
        <w:rPr>
          <w:color w:val="000000" w:themeColor="text1"/>
          <w:lang w:val="en-US"/>
        </w:rPr>
        <w:t xml:space="preserve"> biomass conservation and that different </w:t>
      </w:r>
      <w:r>
        <w:rPr>
          <w:color w:val="000000" w:themeColor="text1"/>
          <w:lang w:val="en-US"/>
        </w:rPr>
        <w:t>composition</w:t>
      </w:r>
      <w:r w:rsidRPr="00FA14B1">
        <w:rPr>
          <w:color w:val="000000" w:themeColor="text1"/>
          <w:lang w:val="en-US"/>
        </w:rPr>
        <w:t xml:space="preserve">s of species can lead to better or worse (“prohibit </w:t>
      </w:r>
      <w:r>
        <w:rPr>
          <w:color w:val="000000" w:themeColor="text1"/>
          <w:lang w:val="en-US"/>
        </w:rPr>
        <w:t>composition</w:t>
      </w:r>
      <w:r w:rsidRPr="00FA14B1">
        <w:rPr>
          <w:color w:val="000000" w:themeColor="text1"/>
          <w:lang w:val="en-US"/>
        </w:rPr>
        <w:t>s”) abilities of communities to conserve biomass.</w:t>
      </w:r>
    </w:p>
    <w:p w:rsidR="008D4BF8" w:rsidRPr="00FA14B1" w:rsidRDefault="008D4BF8" w:rsidP="008D4BF8">
      <w:pPr>
        <w:spacing w:line="480" w:lineRule="auto"/>
        <w:ind w:right="-279"/>
        <w:jc w:val="both"/>
        <w:rPr>
          <w:color w:val="000000" w:themeColor="text1"/>
          <w:lang w:val="en-US"/>
        </w:rPr>
      </w:pPr>
      <w:r w:rsidRPr="00FA14B1">
        <w:rPr>
          <w:b/>
          <w:color w:val="000000" w:themeColor="text1"/>
          <w:lang w:val="en-US"/>
        </w:rPr>
        <w:t>Table S1.</w:t>
      </w:r>
      <w:r w:rsidRPr="00FA14B1">
        <w:rPr>
          <w:color w:val="000000" w:themeColor="text1"/>
          <w:lang w:val="en-US"/>
        </w:rPr>
        <w:t xml:space="preserve">  Original and GLS variation partitioning results.  Results for compositional predictors (presence-absence) and biomass are presented separately as in Fig. 2b and 2c. Original values (Figs. 2b and 2c) are the main values and the GLM values are in parentheses.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693"/>
        <w:gridCol w:w="2534"/>
      </w:tblGrid>
      <w:tr w:rsidR="008D4BF8" w:rsidRPr="00FA14B1" w:rsidTr="00AE5F4B">
        <w:trPr>
          <w:trHeight w:val="745"/>
        </w:trPr>
        <w:tc>
          <w:tcPr>
            <w:tcW w:w="3261" w:type="dxa"/>
            <w:tcBorders>
              <w:top w:val="single" w:sz="4" w:space="0" w:color="auto"/>
            </w:tcBorders>
            <w:vAlign w:val="center"/>
          </w:tcPr>
          <w:p w:rsidR="008D4BF8" w:rsidRPr="001D7F5C" w:rsidRDefault="008D4BF8" w:rsidP="00AE5F4B">
            <w:pPr>
              <w:spacing w:line="480" w:lineRule="auto"/>
              <w:ind w:right="-279"/>
              <w:jc w:val="center"/>
              <w:rPr>
                <w:b/>
                <w:bCs/>
                <w:color w:val="000000" w:themeColor="text1"/>
                <w:sz w:val="20"/>
              </w:rPr>
            </w:pPr>
            <w:r w:rsidRPr="001D7F5C">
              <w:rPr>
                <w:b/>
                <w:bCs/>
                <w:color w:val="000000" w:themeColor="text1"/>
                <w:sz w:val="20"/>
              </w:rPr>
              <w:t>fractions</w:t>
            </w:r>
          </w:p>
        </w:tc>
        <w:tc>
          <w:tcPr>
            <w:tcW w:w="2693" w:type="dxa"/>
            <w:tcBorders>
              <w:top w:val="single" w:sz="4" w:space="0" w:color="auto"/>
            </w:tcBorders>
            <w:vAlign w:val="center"/>
          </w:tcPr>
          <w:p w:rsidR="008D4BF8" w:rsidRPr="001D7F5C" w:rsidRDefault="008D4BF8" w:rsidP="00AE5F4B">
            <w:pPr>
              <w:snapToGrid w:val="0"/>
              <w:ind w:right="-278"/>
              <w:jc w:val="center"/>
              <w:rPr>
                <w:b/>
                <w:bCs/>
                <w:color w:val="000000" w:themeColor="text1"/>
                <w:sz w:val="20"/>
              </w:rPr>
            </w:pPr>
            <w:r w:rsidRPr="001D7F5C">
              <w:rPr>
                <w:b/>
                <w:bCs/>
                <w:color w:val="000000" w:themeColor="text1"/>
                <w:sz w:val="20"/>
              </w:rPr>
              <w:t>presence-absence</w:t>
            </w:r>
          </w:p>
          <w:p w:rsidR="008D4BF8" w:rsidRPr="001D7F5C" w:rsidRDefault="008D4BF8" w:rsidP="00AE5F4B">
            <w:pPr>
              <w:snapToGrid w:val="0"/>
              <w:ind w:right="-278"/>
              <w:jc w:val="center"/>
              <w:rPr>
                <w:b/>
                <w:bCs/>
                <w:color w:val="000000" w:themeColor="text1"/>
                <w:sz w:val="20"/>
              </w:rPr>
            </w:pPr>
            <w:r w:rsidRPr="001D7F5C">
              <w:rPr>
                <w:b/>
                <w:bCs/>
                <w:color w:val="000000" w:themeColor="text1"/>
                <w:sz w:val="20"/>
              </w:rPr>
              <w:t>original (GLS)</w:t>
            </w:r>
          </w:p>
        </w:tc>
        <w:tc>
          <w:tcPr>
            <w:tcW w:w="2534" w:type="dxa"/>
            <w:tcBorders>
              <w:top w:val="single" w:sz="4" w:space="0" w:color="auto"/>
            </w:tcBorders>
            <w:vAlign w:val="center"/>
          </w:tcPr>
          <w:p w:rsidR="008D4BF8" w:rsidRPr="001D7F5C" w:rsidRDefault="008D4BF8" w:rsidP="00AE5F4B">
            <w:pPr>
              <w:snapToGrid w:val="0"/>
              <w:ind w:right="-278"/>
              <w:jc w:val="center"/>
              <w:rPr>
                <w:b/>
                <w:bCs/>
                <w:color w:val="000000" w:themeColor="text1"/>
                <w:sz w:val="20"/>
              </w:rPr>
            </w:pPr>
            <w:r w:rsidRPr="001D7F5C">
              <w:rPr>
                <w:b/>
                <w:bCs/>
                <w:color w:val="000000" w:themeColor="text1"/>
                <w:sz w:val="20"/>
              </w:rPr>
              <w:t>biomass</w:t>
            </w:r>
          </w:p>
          <w:p w:rsidR="008D4BF8" w:rsidRPr="001D7F5C" w:rsidRDefault="008D4BF8" w:rsidP="00AE5F4B">
            <w:pPr>
              <w:snapToGrid w:val="0"/>
              <w:ind w:right="-278"/>
              <w:jc w:val="center"/>
              <w:rPr>
                <w:b/>
                <w:bCs/>
                <w:color w:val="000000" w:themeColor="text1"/>
                <w:sz w:val="20"/>
              </w:rPr>
            </w:pPr>
            <w:r w:rsidRPr="001D7F5C">
              <w:rPr>
                <w:b/>
                <w:bCs/>
                <w:color w:val="000000" w:themeColor="text1"/>
                <w:sz w:val="20"/>
              </w:rPr>
              <w:t>original (GLS)</w:t>
            </w:r>
          </w:p>
        </w:tc>
      </w:tr>
      <w:tr w:rsidR="008D4BF8" w:rsidRPr="00FA14B1" w:rsidTr="00AE5F4B">
        <w:trPr>
          <w:trHeight w:val="699"/>
        </w:trPr>
        <w:tc>
          <w:tcPr>
            <w:tcW w:w="3261" w:type="dxa"/>
            <w:tcBorders>
              <w:top w:val="single" w:sz="4" w:space="0" w:color="auto"/>
            </w:tcBorders>
            <w:vAlign w:val="center"/>
          </w:tcPr>
          <w:p w:rsidR="008D4BF8" w:rsidRPr="001D7F5C" w:rsidRDefault="008D4BF8" w:rsidP="00AE5F4B">
            <w:pPr>
              <w:spacing w:line="480" w:lineRule="auto"/>
              <w:ind w:right="-279"/>
              <w:jc w:val="center"/>
              <w:rPr>
                <w:color w:val="000000" w:themeColor="text1"/>
                <w:sz w:val="20"/>
              </w:rPr>
            </w:pPr>
            <w:r w:rsidRPr="001D7F5C">
              <w:rPr>
                <w:color w:val="000000" w:themeColor="text1"/>
                <w:sz w:val="20"/>
              </w:rPr>
              <w:t>Environment only [a]</w:t>
            </w:r>
          </w:p>
        </w:tc>
        <w:tc>
          <w:tcPr>
            <w:tcW w:w="2693" w:type="dxa"/>
            <w:tcBorders>
              <w:top w:val="single" w:sz="4" w:space="0" w:color="auto"/>
            </w:tcBorders>
            <w:vAlign w:val="center"/>
          </w:tcPr>
          <w:p w:rsidR="008D4BF8" w:rsidRPr="001D7F5C" w:rsidRDefault="008D4BF8" w:rsidP="00AE5F4B">
            <w:pPr>
              <w:spacing w:line="480" w:lineRule="auto"/>
              <w:ind w:right="-279"/>
              <w:jc w:val="center"/>
              <w:rPr>
                <w:color w:val="000000" w:themeColor="text1"/>
                <w:sz w:val="20"/>
              </w:rPr>
            </w:pPr>
            <w:r w:rsidRPr="001D7F5C">
              <w:rPr>
                <w:color w:val="000000" w:themeColor="text1"/>
                <w:sz w:val="20"/>
              </w:rPr>
              <w:t>0.03 (0.03)</w:t>
            </w:r>
          </w:p>
        </w:tc>
        <w:tc>
          <w:tcPr>
            <w:tcW w:w="2534" w:type="dxa"/>
            <w:tcBorders>
              <w:top w:val="single" w:sz="4" w:space="0" w:color="auto"/>
            </w:tcBorders>
            <w:vAlign w:val="center"/>
          </w:tcPr>
          <w:p w:rsidR="008D4BF8" w:rsidRPr="001D7F5C" w:rsidRDefault="008D4BF8" w:rsidP="00AE5F4B">
            <w:pPr>
              <w:spacing w:line="480" w:lineRule="auto"/>
              <w:ind w:right="-279"/>
              <w:jc w:val="center"/>
              <w:rPr>
                <w:color w:val="000000" w:themeColor="text1"/>
                <w:sz w:val="20"/>
              </w:rPr>
            </w:pPr>
            <w:r w:rsidRPr="001D7F5C">
              <w:rPr>
                <w:color w:val="000000" w:themeColor="text1"/>
                <w:sz w:val="20"/>
              </w:rPr>
              <w:t>&lt;0.01 (&lt;0.01)</w:t>
            </w:r>
          </w:p>
        </w:tc>
      </w:tr>
      <w:tr w:rsidR="008D4BF8" w:rsidRPr="00FA14B1" w:rsidTr="00AE5F4B">
        <w:tc>
          <w:tcPr>
            <w:tcW w:w="3261" w:type="dxa"/>
          </w:tcPr>
          <w:p w:rsidR="008D4BF8" w:rsidRPr="001D7F5C" w:rsidRDefault="008D4BF8" w:rsidP="00AE5F4B">
            <w:pPr>
              <w:spacing w:line="480" w:lineRule="auto"/>
              <w:ind w:right="-279"/>
              <w:jc w:val="center"/>
              <w:rPr>
                <w:color w:val="000000" w:themeColor="text1"/>
                <w:sz w:val="20"/>
              </w:rPr>
            </w:pPr>
            <w:r w:rsidRPr="001D7F5C">
              <w:rPr>
                <w:color w:val="000000" w:themeColor="text1"/>
                <w:sz w:val="20"/>
              </w:rPr>
              <w:t>Species composition only [c]</w:t>
            </w:r>
          </w:p>
        </w:tc>
        <w:tc>
          <w:tcPr>
            <w:tcW w:w="2693" w:type="dxa"/>
          </w:tcPr>
          <w:p w:rsidR="008D4BF8" w:rsidRPr="001D7F5C" w:rsidRDefault="008D4BF8" w:rsidP="00AE5F4B">
            <w:pPr>
              <w:spacing w:line="480" w:lineRule="auto"/>
              <w:ind w:right="-279"/>
              <w:jc w:val="center"/>
              <w:rPr>
                <w:color w:val="000000" w:themeColor="text1"/>
                <w:sz w:val="20"/>
              </w:rPr>
            </w:pPr>
            <w:r w:rsidRPr="001D7F5C">
              <w:rPr>
                <w:color w:val="000000" w:themeColor="text1"/>
                <w:sz w:val="20"/>
              </w:rPr>
              <w:t>0.20 (0.27)</w:t>
            </w:r>
          </w:p>
        </w:tc>
        <w:tc>
          <w:tcPr>
            <w:tcW w:w="2534" w:type="dxa"/>
          </w:tcPr>
          <w:p w:rsidR="008D4BF8" w:rsidRPr="001D7F5C" w:rsidRDefault="008D4BF8" w:rsidP="00AE5F4B">
            <w:pPr>
              <w:spacing w:line="480" w:lineRule="auto"/>
              <w:ind w:right="-279"/>
              <w:jc w:val="center"/>
              <w:rPr>
                <w:color w:val="000000" w:themeColor="text1"/>
                <w:sz w:val="20"/>
              </w:rPr>
            </w:pPr>
            <w:r w:rsidRPr="001D7F5C">
              <w:rPr>
                <w:color w:val="000000" w:themeColor="text1"/>
                <w:sz w:val="20"/>
              </w:rPr>
              <w:t>0.59 (0.50)</w:t>
            </w:r>
          </w:p>
        </w:tc>
      </w:tr>
      <w:tr w:rsidR="008D4BF8" w:rsidRPr="00FA14B1" w:rsidTr="00AE5F4B">
        <w:tc>
          <w:tcPr>
            <w:tcW w:w="3261" w:type="dxa"/>
            <w:tcBorders>
              <w:bottom w:val="single" w:sz="4" w:space="0" w:color="auto"/>
            </w:tcBorders>
          </w:tcPr>
          <w:p w:rsidR="008D4BF8" w:rsidRPr="001D7F5C" w:rsidRDefault="008D4BF8" w:rsidP="00AE5F4B">
            <w:pPr>
              <w:spacing w:line="480" w:lineRule="auto"/>
              <w:ind w:right="-279"/>
              <w:jc w:val="center"/>
              <w:rPr>
                <w:color w:val="000000" w:themeColor="text1"/>
                <w:sz w:val="20"/>
              </w:rPr>
            </w:pPr>
            <w:r w:rsidRPr="001D7F5C">
              <w:rPr>
                <w:color w:val="000000" w:themeColor="text1"/>
                <w:sz w:val="20"/>
              </w:rPr>
              <w:t>Shared variation [b]</w:t>
            </w:r>
          </w:p>
        </w:tc>
        <w:tc>
          <w:tcPr>
            <w:tcW w:w="2693" w:type="dxa"/>
            <w:tcBorders>
              <w:bottom w:val="single" w:sz="4" w:space="0" w:color="auto"/>
            </w:tcBorders>
          </w:tcPr>
          <w:p w:rsidR="008D4BF8" w:rsidRPr="001D7F5C" w:rsidRDefault="008D4BF8" w:rsidP="00AE5F4B">
            <w:pPr>
              <w:spacing w:line="480" w:lineRule="auto"/>
              <w:ind w:right="-279"/>
              <w:jc w:val="center"/>
              <w:rPr>
                <w:color w:val="000000" w:themeColor="text1"/>
                <w:sz w:val="20"/>
              </w:rPr>
            </w:pPr>
            <w:r w:rsidRPr="001D7F5C">
              <w:rPr>
                <w:color w:val="000000" w:themeColor="text1"/>
                <w:sz w:val="20"/>
              </w:rPr>
              <w:t>0.24 (0.12)</w:t>
            </w:r>
          </w:p>
        </w:tc>
        <w:tc>
          <w:tcPr>
            <w:tcW w:w="2534" w:type="dxa"/>
            <w:tcBorders>
              <w:bottom w:val="single" w:sz="4" w:space="0" w:color="auto"/>
            </w:tcBorders>
          </w:tcPr>
          <w:p w:rsidR="008D4BF8" w:rsidRPr="001D7F5C" w:rsidRDefault="008D4BF8" w:rsidP="00AE5F4B">
            <w:pPr>
              <w:spacing w:line="480" w:lineRule="auto"/>
              <w:ind w:right="-279"/>
              <w:jc w:val="center"/>
              <w:rPr>
                <w:color w:val="000000" w:themeColor="text1"/>
                <w:sz w:val="20"/>
              </w:rPr>
            </w:pPr>
            <w:r w:rsidRPr="001D7F5C">
              <w:rPr>
                <w:color w:val="000000" w:themeColor="text1"/>
                <w:sz w:val="20"/>
              </w:rPr>
              <w:t>0.27 (0.15)</w:t>
            </w:r>
          </w:p>
        </w:tc>
      </w:tr>
    </w:tbl>
    <w:p w:rsidR="008D4BF8" w:rsidRPr="00FA14B1" w:rsidRDefault="008D4BF8" w:rsidP="008D4BF8">
      <w:pPr>
        <w:spacing w:line="480" w:lineRule="auto"/>
        <w:ind w:right="-279" w:firstLine="708"/>
        <w:jc w:val="both"/>
        <w:rPr>
          <w:color w:val="000000" w:themeColor="text1"/>
          <w:lang w:val="en-US"/>
        </w:rPr>
      </w:pPr>
    </w:p>
    <w:p w:rsidR="008D4BF8" w:rsidRPr="00FA14B1" w:rsidRDefault="008D4BF8" w:rsidP="008D4BF8">
      <w:pPr>
        <w:spacing w:line="480" w:lineRule="auto"/>
        <w:ind w:right="-279"/>
        <w:jc w:val="both"/>
        <w:rPr>
          <w:color w:val="000000" w:themeColor="text1"/>
          <w:lang w:val="en-US"/>
        </w:rPr>
      </w:pPr>
      <w:r w:rsidRPr="00FA14B1">
        <w:rPr>
          <w:noProof/>
          <w:color w:val="000000" w:themeColor="text1"/>
          <w:lang w:val="en-US"/>
        </w:rPr>
        <w:drawing>
          <wp:inline distT="0" distB="0" distL="0" distR="0" wp14:anchorId="3374A8AA" wp14:editId="1D775455">
            <wp:extent cx="5036853" cy="2924433"/>
            <wp:effectExtent l="0" t="0" r="508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4"/>
                    <a:stretch>
                      <a:fillRect/>
                    </a:stretch>
                  </pic:blipFill>
                  <pic:spPr>
                    <a:xfrm>
                      <a:off x="0" y="0"/>
                      <a:ext cx="5053690" cy="2934209"/>
                    </a:xfrm>
                    <a:prstGeom prst="rect">
                      <a:avLst/>
                    </a:prstGeom>
                  </pic:spPr>
                </pic:pic>
              </a:graphicData>
            </a:graphic>
          </wp:inline>
        </w:drawing>
      </w:r>
    </w:p>
    <w:p w:rsidR="008D4BF8" w:rsidRPr="00FA14B1" w:rsidRDefault="008D4BF8" w:rsidP="008D4BF8">
      <w:pPr>
        <w:spacing w:line="480" w:lineRule="auto"/>
        <w:ind w:right="-279"/>
        <w:jc w:val="both"/>
        <w:rPr>
          <w:color w:val="000000" w:themeColor="text1"/>
          <w:lang w:val="en-US"/>
        </w:rPr>
      </w:pPr>
      <w:r w:rsidRPr="00FA14B1">
        <w:rPr>
          <w:b/>
          <w:color w:val="000000" w:themeColor="text1"/>
          <w:lang w:val="en-US"/>
        </w:rPr>
        <w:t>Figure S1.</w:t>
      </w:r>
      <w:r w:rsidRPr="00FA14B1">
        <w:rPr>
          <w:color w:val="000000" w:themeColor="text1"/>
          <w:lang w:val="en-US"/>
        </w:rPr>
        <w:t xml:space="preserve"> Lake pairwise differences in compositional similarity and their differences in biomass conservation.</w:t>
      </w:r>
    </w:p>
    <w:p w:rsidR="008D4BF8" w:rsidRPr="004001C1" w:rsidRDefault="008D4BF8" w:rsidP="008D4BF8">
      <w:pPr>
        <w:spacing w:line="480" w:lineRule="auto"/>
        <w:ind w:right="-279"/>
        <w:jc w:val="both"/>
        <w:rPr>
          <w:rFonts w:eastAsiaTheme="majorEastAsia"/>
          <w:color w:val="2F5496" w:themeColor="accent1" w:themeShade="BF"/>
          <w:sz w:val="28"/>
          <w:szCs w:val="32"/>
          <w:lang w:val="en-US"/>
        </w:rPr>
      </w:pPr>
      <w:r w:rsidRPr="004001C1">
        <w:rPr>
          <w:rFonts w:eastAsiaTheme="majorEastAsia"/>
          <w:color w:val="2F5496" w:themeColor="accent1" w:themeShade="BF"/>
          <w:sz w:val="28"/>
          <w:szCs w:val="32"/>
          <w:lang w:val="en-US"/>
        </w:rPr>
        <w:t>References</w:t>
      </w:r>
    </w:p>
    <w:p w:rsidR="00333829" w:rsidRPr="008D4BF8" w:rsidRDefault="008D4BF8" w:rsidP="008D4BF8">
      <w:pPr>
        <w:spacing w:line="480" w:lineRule="auto"/>
        <w:ind w:left="709" w:right="-278" w:hanging="709"/>
        <w:jc w:val="both"/>
        <w:rPr>
          <w:b/>
          <w:bCs/>
          <w:color w:val="000000" w:themeColor="text1"/>
          <w:szCs w:val="22"/>
          <w:lang w:val="en-US"/>
        </w:rPr>
      </w:pPr>
      <w:r w:rsidRPr="00FA14B1">
        <w:rPr>
          <w:color w:val="000000" w:themeColor="text1"/>
          <w:lang w:val="en-US"/>
        </w:rPr>
        <w:t>Peres-</w:t>
      </w:r>
      <w:proofErr w:type="spellStart"/>
      <w:r w:rsidRPr="00FA14B1">
        <w:rPr>
          <w:color w:val="000000" w:themeColor="text1"/>
          <w:lang w:val="en-US"/>
        </w:rPr>
        <w:t>Neto</w:t>
      </w:r>
      <w:proofErr w:type="spellEnd"/>
      <w:r w:rsidRPr="00FA14B1">
        <w:rPr>
          <w:color w:val="000000" w:themeColor="text1"/>
          <w:lang w:val="en-US"/>
        </w:rPr>
        <w:t xml:space="preserve">, P.R., and D.A. Jackson. 2001. </w:t>
      </w:r>
      <w:r w:rsidRPr="00FA14B1">
        <w:rPr>
          <w:bCs/>
          <w:lang w:val="en-US"/>
        </w:rPr>
        <w:t xml:space="preserve">How well do multivariate data sets match? The robustness and flexibility of a Procrustean superimposition approach over the Mantel test. </w:t>
      </w:r>
      <w:proofErr w:type="spellStart"/>
      <w:r w:rsidRPr="00FA14B1">
        <w:rPr>
          <w:bCs/>
          <w:lang w:val="en-US"/>
        </w:rPr>
        <w:t>Oecologia</w:t>
      </w:r>
      <w:proofErr w:type="spellEnd"/>
      <w:r w:rsidRPr="00FA14B1">
        <w:rPr>
          <w:bCs/>
          <w:lang w:val="en-US"/>
        </w:rPr>
        <w:t xml:space="preserve"> </w:t>
      </w:r>
      <w:r w:rsidRPr="00FA14B1">
        <w:rPr>
          <w:b/>
          <w:bCs/>
          <w:lang w:val="en-US"/>
        </w:rPr>
        <w:t>129</w:t>
      </w:r>
      <w:r w:rsidRPr="00FA14B1">
        <w:rPr>
          <w:bCs/>
          <w:lang w:val="en-US"/>
        </w:rPr>
        <w:t>: 169-178.</w:t>
      </w:r>
    </w:p>
    <w:sectPr w:rsidR="00333829" w:rsidRPr="008D4BF8" w:rsidSect="005660E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F8"/>
    <w:rsid w:val="00171BCA"/>
    <w:rsid w:val="00333829"/>
    <w:rsid w:val="005660E0"/>
    <w:rsid w:val="008D4BF8"/>
    <w:rsid w:val="00FB10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64DBD62"/>
  <w15:chartTrackingRefBased/>
  <w15:docId w15:val="{552A8E7A-58B0-CF47-B20E-2F4BB412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BF8"/>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D4BF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7246</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2</cp:revision>
  <dcterms:created xsi:type="dcterms:W3CDTF">2021-09-07T14:00:00Z</dcterms:created>
  <dcterms:modified xsi:type="dcterms:W3CDTF">2021-09-07T14:14:00Z</dcterms:modified>
</cp:coreProperties>
</file>