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00"/>
        <w:jc w:val="center"/>
      </w:pPr>
      <w:r>
        <w:rPr>
          <w:rFonts w:ascii="Calibri" w:hAnsi="Calibri"/>
          <w:b/>
          <w:color w:val="2F6B4F"/>
          <w:sz w:val="22"/>
        </w:rPr>
        <w:t>BENET CORNER</w:t>
      </w:r>
    </w:p>
    <w:p>
      <w:pPr>
        <w:spacing w:after="60"/>
        <w:jc w:val="center"/>
      </w:pPr>
      <w:r>
        <w:rPr>
          <w:rFonts w:ascii="Calibri" w:hAnsi="Calibri"/>
          <w:b/>
          <w:color w:val="173447"/>
          <w:sz w:val="50"/>
        </w:rPr>
        <w:t>Jardí comunitari, aigua i cures</w:t>
      </w:r>
    </w:p>
    <w:p>
      <w:pPr>
        <w:spacing w:after="240"/>
        <w:jc w:val="center"/>
      </w:pPr>
      <w:r>
        <w:rPr>
          <w:rFonts w:ascii="Calibri" w:hAnsi="Calibri"/>
          <w:color w:val="5F6B73"/>
          <w:sz w:val="26"/>
        </w:rPr>
        <w:t>Proposta social, climàtica i patrimonial per al Rec Comtal 19B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28197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et-corner-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19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/>
        <w:jc w:val="right"/>
      </w:pPr>
      <w:r>
        <w:rPr>
          <w:rFonts w:ascii="Calibri" w:hAnsi="Calibri"/>
          <w:i/>
          <w:color w:val="5F6B73"/>
          <w:sz w:val="16"/>
        </w:rPr>
        <w:t>Benet Corner · Foto: Horts Urbans / BCN Regional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6"/>
          <w:left w:val="single" w:sz="4" w:space="0" w:color="D8E1E6"/>
          <w:bottom w:val="single" w:sz="4" w:space="0" w:color="D8E1E6"/>
          <w:right w:val="single" w:sz="4" w:space="0" w:color="D8E1E6"/>
          <w:insideH w:val="single" w:sz="4" w:space="0" w:color="D8E1E6"/>
          <w:insideV w:val="single" w:sz="4" w:space="0" w:color="D8E1E6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9F2EC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5F6B73"/>
                <w:sz w:val="16"/>
              </w:rPr>
              <w:t>INVERSIÓ PROPOSADA</w:t>
              <w:br/>
            </w:r>
            <w:r>
              <w:rPr>
                <w:rFonts w:ascii="Calibri" w:hAnsi="Calibri"/>
                <w:b/>
                <w:color w:val="173447"/>
                <w:sz w:val="26"/>
              </w:rPr>
              <w:t>445.000 €</w:t>
            </w:r>
          </w:p>
        </w:tc>
        <w:tc>
          <w:tcPr>
            <w:tcW w:type="dxa" w:w="46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9F2EC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5F6B73"/>
                <w:sz w:val="16"/>
              </w:rPr>
              <w:t>OPERACIÓ ANUAL</w:t>
              <w:br/>
            </w:r>
            <w:r>
              <w:rPr>
                <w:rFonts w:ascii="Calibri" w:hAnsi="Calibri"/>
                <w:b/>
                <w:color w:val="173447"/>
                <w:sz w:val="26"/>
              </w:rPr>
              <w:t>260.000 €</w:t>
            </w:r>
          </w:p>
        </w:tc>
      </w:tr>
      <w:tr>
        <w:tc>
          <w:tcPr>
            <w:tcW w:type="dxa" w:w="46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1F5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5F6B73"/>
                <w:sz w:val="16"/>
              </w:rPr>
              <w:t>HORITZÓ</w:t>
              <w:br/>
            </w:r>
            <w:r>
              <w:rPr>
                <w:rFonts w:ascii="Calibri" w:hAnsi="Calibri"/>
                <w:b/>
                <w:color w:val="173447"/>
                <w:sz w:val="26"/>
              </w:rPr>
              <w:t>2027–2030</w:t>
            </w:r>
          </w:p>
        </w:tc>
        <w:tc>
          <w:tcPr>
            <w:tcW w:type="dxa" w:w="46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1F5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5F6B73"/>
                <w:sz w:val="16"/>
              </w:rPr>
              <w:t>VERSIÓ</w:t>
              <w:br/>
            </w:r>
            <w:r>
              <w:rPr>
                <w:rFonts w:ascii="Calibri" w:hAnsi="Calibri"/>
                <w:b/>
                <w:color w:val="173447"/>
                <w:sz w:val="26"/>
              </w:rPr>
              <w:t>26.08.2026</w:t>
            </w:r>
          </w:p>
        </w:tc>
      </w:tr>
    </w:tbl>
    <w:p>
      <w:pPr>
        <w:spacing w:before="200" w:after="0"/>
        <w:jc w:val="center"/>
      </w:pPr>
      <w:r>
        <w:rPr>
          <w:rFonts w:ascii="Calibri" w:hAnsi="Calibri"/>
          <w:color w:val="5F6B73"/>
          <w:sz w:val="18"/>
        </w:rPr>
        <w:t>Associació Comunitària Rec Comtal – Benet Corner · Proposta basada en l’experiència de Fundació Comtal i oberta a acord institucional i veïnal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45A7A"/>
          <w:sz w:val="32"/>
        </w:rPr>
        <w:t>1. Resum executiu</w:t>
      </w:r>
    </w:p>
    <w:p>
      <w:r>
        <w:rPr>
          <w:rFonts w:ascii="Calibri" w:hAnsi="Calibri"/>
          <w:color w:val="1C2428"/>
          <w:sz w:val="21"/>
        </w:rPr>
        <w:t>Benet Corner és un jardí comunitari i educatiu actiu des de 2019 en un punt especialment dens de Ciutat Vella: un espai de barri, un tram documentat del paisatge arqueològic del Rec Comtal i un entorn amb necessitats socials i de salut pública que requereixen coordinació estable.</w:t>
      </w:r>
    </w:p>
    <w:p>
      <w:r>
        <w:rPr>
          <w:rFonts w:ascii="Calibri" w:hAnsi="Calibri"/>
          <w:color w:val="1C2428"/>
          <w:sz w:val="21"/>
        </w:rPr>
        <w:t>La proposta consolida i amplia el projecte social existent. Manté la major part del solar com a espai obert i cultivable, incorpora un petit pavelló reversible d’ombra, aigua i memòria, crea una àrea d’interpretació arqueològica i professionalitza l’activitat amb personal social remunerat. L’objectiu no és privatitzar l’espai ni substituir serveis públics, sinó establir una infraestructura comunitària gestionada amb responsabilitats, horaris, manteniment i resultats verificables.</w:t>
      </w:r>
    </w:p>
    <w:p>
      <w:r>
        <w:rPr>
          <w:rFonts w:ascii="Calibri" w:hAnsi="Calibri"/>
          <w:color w:val="1C2428"/>
          <w:sz w:val="21"/>
        </w:rPr>
        <w:t>La inversió física es planteja com a projecte municipal, compatible amb un futur procés de pressupostos participatius o amb una actuació directa de l’Ajuntament. Els ajuts de Paisatge Urbà podrien cofinançar els components elegibles de coberta verda, hort col·lectiu, permeabilització o patrimoni, sempre que l’IMPU confirmi l’encaix jurídic i tècnic.</w:t>
      </w:r>
    </w:p>
    <w:p>
      <w:pPr>
        <w:pStyle w:val="Heading1"/>
        <w:keepNext/>
      </w:pPr>
      <w:r>
        <w:rPr>
          <w:rFonts w:ascii="Calibri" w:hAnsi="Calibri"/>
          <w:b/>
          <w:color w:val="245A7A"/>
          <w:sz w:val="32"/>
        </w:rPr>
        <w:t>2. Necessitat i oportunitat</w:t>
      </w:r>
    </w:p>
    <w:p>
      <w:r>
        <w:rPr>
          <w:rFonts w:ascii="Calibri" w:hAnsi="Calibri"/>
          <w:color w:val="1C2428"/>
          <w:sz w:val="21"/>
        </w:rPr>
        <w:t>El projecte respon a cinc necessitats connectades:</w:t>
      </w:r>
    </w:p>
    <w:p>
      <w:pPr>
        <w:keepLines/>
        <w:numPr>
          <w:ilvl w:val="0"/>
          <w:numId w:val="11"/>
        </w:numPr>
        <w:spacing w:after="60" w:line="283" w:lineRule="auto"/>
        <w:jc w:val="left"/>
      </w:pPr>
      <w:r>
        <w:rPr>
          <w:rFonts w:ascii="Calibri" w:hAnsi="Calibri"/>
          <w:b/>
          <w:color w:val="1C2428"/>
          <w:sz w:val="21"/>
        </w:rPr>
        <w:t>Continuïtat social.</w:t>
      </w:r>
      <w:r>
        <w:rPr>
          <w:rFonts w:ascii="Calibri" w:hAnsi="Calibri"/>
          <w:color w:val="1C2428"/>
          <w:sz w:val="21"/>
        </w:rPr>
        <w:t xml:space="preserve"> Preservar l’activitat comunitària, educativa i intergeneracional desenvolupada per Fundació Comtal i els seus col·laboradors.</w:t>
      </w:r>
    </w:p>
    <w:p>
      <w:pPr>
        <w:keepLines/>
        <w:numPr>
          <w:ilvl w:val="0"/>
          <w:numId w:val="11"/>
        </w:numPr>
        <w:spacing w:after="60" w:line="283" w:lineRule="auto"/>
        <w:jc w:val="left"/>
      </w:pPr>
      <w:r>
        <w:rPr>
          <w:rFonts w:ascii="Calibri" w:hAnsi="Calibri"/>
          <w:b/>
          <w:color w:val="1C2428"/>
          <w:sz w:val="21"/>
        </w:rPr>
        <w:t>Verd i adaptació climàtica.</w:t>
      </w:r>
      <w:r>
        <w:rPr>
          <w:rFonts w:ascii="Calibri" w:hAnsi="Calibri"/>
          <w:color w:val="1C2428"/>
          <w:sz w:val="21"/>
        </w:rPr>
        <w:t xml:space="preserve"> Mantenir sòl permeable, ombra, cultiu, biodiversitat i gestió eficient de l’aigua en un barri dens.</w:t>
      </w:r>
    </w:p>
    <w:p>
      <w:pPr>
        <w:keepLines/>
        <w:numPr>
          <w:ilvl w:val="0"/>
          <w:numId w:val="11"/>
        </w:numPr>
        <w:spacing w:after="60" w:line="283" w:lineRule="auto"/>
        <w:jc w:val="left"/>
      </w:pPr>
      <w:r>
        <w:rPr>
          <w:rFonts w:ascii="Calibri" w:hAnsi="Calibri"/>
          <w:b/>
          <w:color w:val="1C2428"/>
          <w:sz w:val="21"/>
        </w:rPr>
        <w:t>Memòria del Rec Comtal.</w:t>
      </w:r>
      <w:r>
        <w:rPr>
          <w:rFonts w:ascii="Calibri" w:hAnsi="Calibri"/>
          <w:color w:val="1C2428"/>
          <w:sz w:val="21"/>
        </w:rPr>
        <w:t xml:space="preserve"> Fer llegible la infraestructura hidràulica que va ordenar agricultura, treball i vida urbana durant segles, utilitzant només evidència arqueològica verificada.</w:t>
      </w:r>
    </w:p>
    <w:p>
      <w:pPr>
        <w:keepLines/>
        <w:numPr>
          <w:ilvl w:val="0"/>
          <w:numId w:val="11"/>
        </w:numPr>
        <w:spacing w:after="60" w:line="283" w:lineRule="auto"/>
        <w:jc w:val="left"/>
      </w:pPr>
      <w:r>
        <w:rPr>
          <w:rFonts w:ascii="Calibri" w:hAnsi="Calibri"/>
          <w:b/>
          <w:color w:val="1C2428"/>
          <w:sz w:val="21"/>
        </w:rPr>
        <w:t>Convivència i salut pública.</w:t>
      </w:r>
      <w:r>
        <w:rPr>
          <w:rFonts w:ascii="Calibri" w:hAnsi="Calibri"/>
          <w:color w:val="1C2428"/>
          <w:sz w:val="21"/>
        </w:rPr>
        <w:t xml:space="preserve"> Donar una resposta estable als residus sanitaris, miccions i altres incidències observades a l’entorn, mitjançant neteja segura, lavabos en horari supervisat, disseny sense racons ocults i coordinació amb els serveis públics.</w:t>
      </w:r>
    </w:p>
    <w:p>
      <w:pPr>
        <w:keepLines/>
        <w:numPr>
          <w:ilvl w:val="0"/>
          <w:numId w:val="11"/>
        </w:numPr>
        <w:spacing w:after="60" w:line="283" w:lineRule="auto"/>
        <w:jc w:val="left"/>
      </w:pPr>
      <w:r>
        <w:rPr>
          <w:rFonts w:ascii="Calibri" w:hAnsi="Calibri"/>
          <w:b/>
          <w:color w:val="1C2428"/>
          <w:sz w:val="21"/>
        </w:rPr>
        <w:t>Sostenibilitat econòmica.</w:t>
      </w:r>
      <w:r>
        <w:rPr>
          <w:rFonts w:ascii="Calibri" w:hAnsi="Calibri"/>
          <w:color w:val="1C2428"/>
          <w:sz w:val="21"/>
        </w:rPr>
        <w:t xml:space="preserve"> Convertir les actuals col·laboracions de responsabilitat social corporativa en una cartera transparent de convenis plurianuals que financi activitat social, personal i manteniment.</w:t>
      </w:r>
    </w:p>
    <w:p>
      <w:pPr>
        <w:pStyle w:val="Heading1"/>
        <w:keepNext/>
      </w:pPr>
      <w:r>
        <w:rPr>
          <w:rFonts w:ascii="Calibri" w:hAnsi="Calibri"/>
          <w:b/>
          <w:color w:val="245A7A"/>
          <w:sz w:val="32"/>
        </w:rPr>
        <w:t>3. Principis del projecte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b/>
          <w:color w:val="1C2428"/>
          <w:sz w:val="21"/>
        </w:rPr>
        <w:t>Centralitat social:</w:t>
      </w:r>
      <w:r>
        <w:rPr>
          <w:rFonts w:ascii="Calibri" w:hAnsi="Calibri"/>
          <w:color w:val="1C2428"/>
          <w:sz w:val="21"/>
        </w:rPr>
        <w:t xml:space="preserve"> l’arquitectura serveix el programa comunitari, no al revés.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b/>
          <w:color w:val="1C2428"/>
          <w:sz w:val="21"/>
        </w:rPr>
        <w:t>Espai públic i inclusiu:</w:t>
      </w:r>
      <w:r>
        <w:rPr>
          <w:rFonts w:ascii="Calibri" w:hAnsi="Calibri"/>
          <w:color w:val="1C2428"/>
          <w:sz w:val="21"/>
        </w:rPr>
        <w:t xml:space="preserve"> cap grup és etiquetat o exclòs; les incidències es tracten amb criteris de salut pública, reducció de danys i convivència.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b/>
          <w:color w:val="1C2428"/>
          <w:sz w:val="21"/>
        </w:rPr>
        <w:t>Patrimoni verificat:</w:t>
      </w:r>
      <w:r>
        <w:rPr>
          <w:rFonts w:ascii="Calibri" w:hAnsi="Calibri"/>
          <w:color w:val="1C2428"/>
          <w:sz w:val="21"/>
        </w:rPr>
        <w:t xml:space="preserve"> es diferencia clarament entre resta documentada, reconstrucció històrica i interpretació del projecte.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b/>
          <w:color w:val="1C2428"/>
          <w:sz w:val="21"/>
        </w:rPr>
        <w:t>Reversibilitat:</w:t>
      </w:r>
      <w:r>
        <w:rPr>
          <w:rFonts w:ascii="Calibri" w:hAnsi="Calibri"/>
          <w:color w:val="1C2428"/>
          <w:sz w:val="21"/>
        </w:rPr>
        <w:t xml:space="preserve"> la nova estructura evita afectacions arqueològiques innecessàries i pot adaptar-se o desmuntar-se.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b/>
          <w:color w:val="1C2428"/>
          <w:sz w:val="21"/>
        </w:rPr>
        <w:t>Treball digne:</w:t>
      </w:r>
      <w:r>
        <w:rPr>
          <w:rFonts w:ascii="Calibri" w:hAnsi="Calibri"/>
          <w:color w:val="1C2428"/>
          <w:sz w:val="21"/>
        </w:rPr>
        <w:t xml:space="preserve"> les funcions socials sensibles no descansen només en voluntariat.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b/>
          <w:color w:val="1C2428"/>
          <w:sz w:val="21"/>
        </w:rPr>
        <w:t>Transparència:</w:t>
      </w:r>
      <w:r>
        <w:rPr>
          <w:rFonts w:ascii="Calibri" w:hAnsi="Calibri"/>
          <w:color w:val="1C2428"/>
          <w:sz w:val="21"/>
        </w:rPr>
        <w:t xml:space="preserve"> pressupost, patrocinis, resultats i incidències agregades es publiquen anualment.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b/>
          <w:color w:val="1C2428"/>
          <w:sz w:val="21"/>
        </w:rPr>
        <w:t>Compatibilitat amb l’habitatge públic:</w:t>
      </w:r>
      <w:r>
        <w:rPr>
          <w:rFonts w:ascii="Calibri" w:hAnsi="Calibri"/>
          <w:color w:val="1C2428"/>
          <w:sz w:val="21"/>
        </w:rPr>
        <w:t xml:space="preserve"> es busca una solució urbanística que preservi l’activitat comunitària sense negar la necessitat d’habitatge assequible.</w:t>
      </w:r>
    </w:p>
    <w:p>
      <w:pPr>
        <w:pStyle w:val="Heading1"/>
        <w:keepNext/>
      </w:pPr>
      <w:r>
        <w:rPr>
          <w:rFonts w:ascii="Calibri" w:hAnsi="Calibri"/>
          <w:b/>
          <w:color w:val="245A7A"/>
          <w:sz w:val="32"/>
        </w:rPr>
        <w:t>4. Programa d’activitats</w:t>
      </w:r>
    </w:p>
    <w:p>
      <w:pPr>
        <w:pStyle w:val="Heading2"/>
        <w:keepNext/>
      </w:pPr>
      <w:r>
        <w:rPr>
          <w:rFonts w:ascii="Calibri" w:hAnsi="Calibri"/>
          <w:b/>
          <w:color w:val="245A7A"/>
          <w:sz w:val="25"/>
        </w:rPr>
        <w:t>4.1 Cures, inclusió i acció comunitària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acollida i escolta de veïns, famílies i persones en situació de vulnerabilitat;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activitats intergeneracionals i de vinculació comunitària;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derivació responsable cap a serveis socials, sanitaris i d’addiccions, sense substituir-los;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pràctiques formatives i itineraris prelaborals vinculats a hort, manteniment, cultura i mediació;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presència professional durant les franges principals d’obertura.</w:t>
      </w:r>
    </w:p>
    <w:p>
      <w:pPr>
        <w:pStyle w:val="Heading2"/>
        <w:keepNext/>
      </w:pPr>
      <w:r>
        <w:rPr>
          <w:rFonts w:ascii="Calibri" w:hAnsi="Calibri"/>
          <w:b/>
          <w:color w:val="245A7A"/>
          <w:sz w:val="25"/>
        </w:rPr>
        <w:t>4.2 Hort, educació i clima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cultiu comunitari, compostatge i biodiversitat urbana;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tallers amb escoles i entitats juvenils;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formació en sòl, alimentació sostenible, estalvi d’aigua i adaptació a la calor;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demostració de reg eficient, captació de pluja i materials de baixa petjada.</w:t>
      </w:r>
    </w:p>
    <w:p>
      <w:pPr>
        <w:pStyle w:val="Heading2"/>
        <w:keepNext/>
      </w:pPr>
      <w:r>
        <w:rPr>
          <w:rFonts w:ascii="Calibri" w:hAnsi="Calibri"/>
          <w:b/>
          <w:color w:val="245A7A"/>
          <w:sz w:val="25"/>
        </w:rPr>
        <w:t>4.3 Rec Comtal i arqueologia pública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exposició compacta sobre el traçat i els usos del Rec Comtal;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reproduccions autoritzades de plànols, fotografies i dibuixos arqueològics;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espai per a objectes amb procedència, propietat i conservació documentades;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visites guiades connectades amb Sant Pere, el Born i la ruta més àmplia del Rec;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col·laboració amb el Servei d’Arqueologia, universitats i institucions culturals.</w:t>
      </w:r>
    </w:p>
    <w:p>
      <w:pPr>
        <w:pStyle w:val="Heading2"/>
        <w:keepNext/>
      </w:pPr>
      <w:r>
        <w:rPr>
          <w:rFonts w:ascii="Calibri" w:hAnsi="Calibri"/>
          <w:b/>
          <w:color w:val="245A7A"/>
          <w:sz w:val="25"/>
        </w:rPr>
        <w:t>4.4 Cultura de proximitat i arts comunitàries</w:t>
      </w:r>
    </w:p>
    <w:p>
      <w:r>
        <w:rPr>
          <w:rFonts w:ascii="Calibri" w:hAnsi="Calibri"/>
          <w:color w:val="1C2428"/>
          <w:sz w:val="21"/>
        </w:rPr>
        <w:t>El pavelló i el jardí acolliran una programació cultural de petita escala vinculada al barri, la memòria del Rec Comtal i la transició ecològica: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música acústica o de baixa amplificació, recitals, poesia i narració oral;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presentacions de llibres, projectes, recerques i iniciatives veïnals;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arts visuals, instal·lacions temporals, fotografia, cinema de petit format i performance compatible;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tallers artístics intergeneracionals i activitats amb escoles;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residències curtes d’artistes, artesans o mediadors amb retorn públic;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exposicions i mercats puntuals de peces produïdes dins els programes socials i circulars.</w:t>
      </w:r>
    </w:p>
    <w:p>
      <w:r>
        <w:rPr>
          <w:rFonts w:ascii="Calibri" w:hAnsi="Calibri"/>
          <w:color w:val="1C2428"/>
          <w:sz w:val="21"/>
        </w:rPr>
        <w:t>La prioritat serà el programa diürn o de primera hora del vespre, amb aforament limitat, calendari publicat, accessibilitat, mediació amb el veïnat i protocol de so. No es pressuposa una llicència permanent de sala ni una activitat nocturna. Cada acte es farà només amb l’autorització, assegurança, pla d’emergència, condicions acústiques i règim fiscal que corresponguin. Els ingressos podran provenir d’entrades o aportacions assequibles, contractació cultural, tallers, patrocinis de programa i barres o restauració només si existeix un operador i permís específics.</w:t>
      </w:r>
    </w:p>
    <w:p>
      <w:pPr>
        <w:pStyle w:val="Heading2"/>
        <w:keepNext/>
      </w:pPr>
      <w:r>
        <w:rPr>
          <w:rFonts w:ascii="Calibri" w:hAnsi="Calibri"/>
          <w:b/>
          <w:color w:val="245A7A"/>
          <w:sz w:val="25"/>
        </w:rPr>
        <w:t>4.5 Taller circular i upcycling</w:t>
      </w:r>
    </w:p>
    <w:p>
      <w:r>
        <w:rPr>
          <w:rFonts w:ascii="Calibri" w:hAnsi="Calibri"/>
          <w:color w:val="1C2428"/>
          <w:sz w:val="21"/>
        </w:rPr>
        <w:t xml:space="preserve">El projecte incorporarà un petit laboratori de reparació, reutilització i </w:t>
      </w:r>
      <w:r>
        <w:rPr>
          <w:rFonts w:ascii="Calibri" w:hAnsi="Calibri"/>
          <w:b/>
          <w:color w:val="1C2428"/>
          <w:sz w:val="21"/>
        </w:rPr>
        <w:t>upcycling</w:t>
      </w:r>
      <w:r>
        <w:rPr>
          <w:rFonts w:ascii="Calibri" w:hAnsi="Calibri"/>
          <w:color w:val="1C2428"/>
          <w:sz w:val="21"/>
        </w:rPr>
        <w:t xml:space="preserve"> per convertir materials nets recuperats en productes útils: jardineres, mobiliari lleuger, senyalètica, elements expositius, peces tèxtils, objectes artístics i kits educatius.</w:t>
      </w:r>
    </w:p>
    <w:p>
      <w:r>
        <w:rPr>
          <w:rFonts w:ascii="Calibri" w:hAnsi="Calibri"/>
          <w:color w:val="1C2428"/>
          <w:sz w:val="21"/>
        </w:rPr>
        <w:t>Es prioritzaran materials que encara siguin productes reutilitzables o que arribin a través de gestors i col·laboradors autoritzats. No s’acceptaran residus sanitaris, químics, elèctrics no revisats, fustes tractades desconegudes, materials amb amiant ni altres fluxos perillosos. Abans d’emmagatzemar o transformar materials que jurídicament siguin residus, es confirmarà amb l’Ajuntament o l’Agència de Residus el règim aplicable.</w:t>
      </w:r>
    </w:p>
    <w:p>
      <w:r>
        <w:rPr>
          <w:rFonts w:ascii="Calibri" w:hAnsi="Calibri"/>
          <w:color w:val="1C2428"/>
          <w:sz w:val="21"/>
        </w:rPr>
        <w:t>El programa combinarà tallers oberts, formació prelaboral, encàrrecs per a escoles i entitats, reparació d’elements del mateix jardí i venda transparent de sèries petites. Es registrarà l’origen dels materials, les unitats o quilograms recuperats, hores formatives, costos, productes, ingressos i destinació social del marge.</w:t>
      </w:r>
    </w:p>
    <w:p>
      <w:pPr>
        <w:pStyle w:val="Heading2"/>
        <w:keepNext/>
      </w:pPr>
      <w:r>
        <w:rPr>
          <w:rFonts w:ascii="Calibri" w:hAnsi="Calibri"/>
          <w:b/>
          <w:color w:val="245A7A"/>
          <w:sz w:val="25"/>
        </w:rPr>
        <w:t>4.6 Responsabilitat social corporativa</w:t>
      </w:r>
    </w:p>
    <w:p>
      <w:r>
        <w:rPr>
          <w:rFonts w:ascii="Calibri" w:hAnsi="Calibri"/>
          <w:color w:val="1C2428"/>
          <w:sz w:val="21"/>
        </w:rPr>
        <w:t>Les empreses ja utilitzen el projecte com a infraestructura per a jornades de voluntariat i responsabilitat social. Aquesta línia, actualment la de major capacitat d’ingrés, es professionalitzarà amb paquets que combinin aportació econòmica i participació útil: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b/>
          <w:color w:val="1C2428"/>
          <w:sz w:val="21"/>
        </w:rPr>
        <w:t>Soci tractor — 25.000 €/any:</w:t>
      </w:r>
      <w:r>
        <w:rPr>
          <w:rFonts w:ascii="Calibri" w:hAnsi="Calibri"/>
          <w:color w:val="1C2428"/>
          <w:sz w:val="21"/>
        </w:rPr>
        <w:t xml:space="preserve"> suport plurianual a una línia social, amb informe d’impacte i un màxim de quatre jornades anuals.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b/>
          <w:color w:val="1C2428"/>
          <w:sz w:val="21"/>
        </w:rPr>
        <w:t>Soci de programa — 10.000 €/any:</w:t>
      </w:r>
      <w:r>
        <w:rPr>
          <w:rFonts w:ascii="Calibri" w:hAnsi="Calibri"/>
          <w:color w:val="1C2428"/>
          <w:sz w:val="21"/>
        </w:rPr>
        <w:t xml:space="preserve"> finançament d’un programa educatiu, ambiental o patrimonial.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b/>
          <w:color w:val="1C2428"/>
          <w:sz w:val="21"/>
        </w:rPr>
        <w:t>Jornada responsable — 3.000 €/activitat:</w:t>
      </w:r>
      <w:r>
        <w:rPr>
          <w:rFonts w:ascii="Calibri" w:hAnsi="Calibri"/>
          <w:color w:val="1C2428"/>
          <w:sz w:val="21"/>
        </w:rPr>
        <w:t xml:space="preserve"> grup limitat, preparació, facilitació professional, materials i contribució al manteniment.</w:t>
      </w:r>
    </w:p>
    <w:p>
      <w:r>
        <w:rPr>
          <w:rFonts w:ascii="Calibri" w:hAnsi="Calibri"/>
          <w:color w:val="1C2428"/>
          <w:sz w:val="21"/>
        </w:rPr>
        <w:t>No s’acceptaran patrocinis incompatibles amb els objectius socials o ambientals. No hi haurà exclusivitat sobre l’espai, publicitat invasiva ni substitució de llocs de treball per voluntariat corporatiu. Les empreses rebran evidència d’impacte, no drets de govern ni rentat reputacional.</w:t>
      </w:r>
    </w:p>
    <w:p>
      <w:r>
        <w:rPr>
          <w:rFonts w:ascii="Calibri" w:hAnsi="Calibri"/>
          <w:color w:val="1C2428"/>
          <w:sz w:val="21"/>
        </w:rPr>
        <w:t>Abans de presentar aquesta línia com a finançament consolidat, l’associació documentarà els convenis, ingressos i costos històrics disponibles i construirà una cartera comercial verificable.</w:t>
      </w:r>
    </w:p>
    <w:p>
      <w:pPr>
        <w:pStyle w:val="Heading1"/>
        <w:keepNext/>
      </w:pPr>
      <w:r>
        <w:rPr>
          <w:rFonts w:ascii="Calibri" w:hAnsi="Calibri"/>
          <w:b/>
          <w:color w:val="245A7A"/>
          <w:sz w:val="32"/>
        </w:rPr>
        <w:t>5. Pavelló d’aigua, ombra i memòria</w:t>
      </w:r>
    </w:p>
    <w:p>
      <w:r>
        <w:rPr>
          <w:rFonts w:ascii="Calibri" w:hAnsi="Calibri"/>
          <w:color w:val="1C2428"/>
          <w:sz w:val="21"/>
        </w:rPr>
        <w:t>Es proposa una estructura lleugera, reversible i de petita ocupació, desenvolupada amb joves arquitectes i validada per professionals d’estructures, accessibilitat, arqueologia i paisatge.</w:t>
      </w:r>
    </w:p>
    <w:p>
      <w:pPr>
        <w:pStyle w:val="Heading2"/>
        <w:keepNext/>
      </w:pPr>
      <w:r>
        <w:rPr>
          <w:rFonts w:ascii="Calibri" w:hAnsi="Calibri"/>
          <w:b/>
          <w:color w:val="245A7A"/>
          <w:sz w:val="25"/>
        </w:rPr>
        <w:t>Funcions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ombra per a tallers, menjador comunitari i trobades;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coberta vegetal o pèrgola plantada, si és tècnicament viable;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captació visible de pluja i dipòsit per al reg;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magatzem segur per a eines i materials;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suport per a exposició del Rec Comtal;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infraestructura bàsica per a presentacions i cultura de baixa intensitat;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banc de treball i emmagatzematge separat per al taller circular;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punt d’aigua, rentamans i lavabo accessible en horari supervisat;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il·luminació càlida i eficient, amb visibilitat des del carrer;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superfícies rentables, reparables i resistents a l’ús intensiu.</w:t>
      </w:r>
    </w:p>
    <w:p>
      <w:pPr>
        <w:pStyle w:val="Heading2"/>
        <w:keepNext/>
      </w:pPr>
      <w:r>
        <w:rPr>
          <w:rFonts w:ascii="Calibri" w:hAnsi="Calibri"/>
          <w:b/>
          <w:color w:val="245A7A"/>
          <w:sz w:val="25"/>
        </w:rPr>
        <w:t>Disseny per a la convivència</w:t>
      </w:r>
    </w:p>
    <w:p>
      <w:r>
        <w:rPr>
          <w:rFonts w:ascii="Calibri" w:hAnsi="Calibri"/>
          <w:color w:val="1C2428"/>
          <w:sz w:val="21"/>
        </w:rPr>
        <w:t>La coberta no ha de crear un espai residual fora d’horari. El projecte evitarà racons cecs, tancaments opacs i cavitats no inspeccionables. El lavabo i els espais tancats funcionaran durant l’horari amb personal; el tancament nocturn serà clar i reversible. La solució combinarà visibilitat, il·luminació, activitat regular i manteniment, sense arquitectura hostil.</w:t>
      </w:r>
    </w:p>
    <w:p>
      <w:r>
        <w:rPr>
          <w:rFonts w:ascii="Calibri" w:hAnsi="Calibri"/>
          <w:color w:val="1C2428"/>
          <w:sz w:val="21"/>
        </w:rPr>
        <w:t>S’estudiaran dues opcions: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b/>
          <w:color w:val="1C2428"/>
          <w:sz w:val="21"/>
        </w:rPr>
        <w:t>Opció A:</w:t>
      </w:r>
      <w:r>
        <w:rPr>
          <w:rFonts w:ascii="Calibri" w:hAnsi="Calibri"/>
          <w:color w:val="1C2428"/>
          <w:sz w:val="21"/>
        </w:rPr>
        <w:t xml:space="preserve"> adaptació d’una estructura, coberta, pati o element existent, amb millor encaix potencial als ajuts de Paisatge Urbà.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b/>
          <w:color w:val="1C2428"/>
          <w:sz w:val="21"/>
        </w:rPr>
        <w:t>Opció B:</w:t>
      </w:r>
      <w:r>
        <w:rPr>
          <w:rFonts w:ascii="Calibri" w:hAnsi="Calibri"/>
          <w:color w:val="1C2428"/>
          <w:sz w:val="21"/>
        </w:rPr>
        <w:t xml:space="preserve"> pavelló nou reversible, finançat principalment com a inversió municipal, separant els components de naturalització susceptibles d’ajut.</w:t>
      </w:r>
    </w:p>
    <w:p>
      <w:pPr>
        <w:pStyle w:val="Heading1"/>
        <w:keepNext/>
      </w:pPr>
      <w:r>
        <w:rPr>
          <w:rFonts w:ascii="Calibri" w:hAnsi="Calibri"/>
          <w:b/>
          <w:color w:val="245A7A"/>
          <w:sz w:val="32"/>
        </w:rPr>
        <w:t>6. Entorn del CAS Lluís Companys: salut pública i coordinació</w:t>
      </w:r>
    </w:p>
    <w:p>
      <w:r>
        <w:rPr>
          <w:rFonts w:ascii="Calibri" w:hAnsi="Calibri"/>
          <w:color w:val="1C2428"/>
          <w:sz w:val="21"/>
        </w:rPr>
        <w:t>El CAS Lluís Companys–Creu Roja i el servei de dispensació de metadona consten oficialment al carrer Davant del Portal Nou, 2, al mateix entorn urbà. El Pla d’Acció sobre Drogues i Addiccions de Barcelona 2025–2028 identifica al CAS serveis de reducció de danys, consum supervisat injectat, higiene i atenció social i sanitària bàsica. Aquests serveis són una part necessària de la xarxa pública.</w:t>
      </w:r>
    </w:p>
    <w:p>
      <w:r>
        <w:rPr>
          <w:rFonts w:ascii="Calibri" w:hAnsi="Calibri"/>
          <w:color w:val="1C2428"/>
          <w:sz w:val="21"/>
        </w:rPr>
        <w:t>El projecte no atribuirà automàticament les xeringues, l’orina o altres incidències observades a persones usuàries concretes ni al tractament amb metadona. Per actuar amb rigor es crearà un registre d’incidències agregat, sense fotografiar o identificar persones, i es demanarà una diagnosi compartida amb el CAS, l’ASPB, neteja, serveis socials i el Districte.</w:t>
      </w:r>
    </w:p>
    <w:p>
      <w:pPr>
        <w:pStyle w:val="Heading2"/>
        <w:keepNext/>
      </w:pPr>
      <w:r>
        <w:rPr>
          <w:rFonts w:ascii="Calibri" w:hAnsi="Calibri"/>
          <w:b/>
          <w:color w:val="245A7A"/>
          <w:sz w:val="25"/>
        </w:rPr>
        <w:t>Protocol proposat</w:t>
      </w:r>
    </w:p>
    <w:p>
      <w:pPr>
        <w:keepLines/>
        <w:numPr>
          <w:ilvl w:val="0"/>
          <w:numId w:val="12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inspecció d’obertura i tancament per personal format;</w:t>
      </w:r>
    </w:p>
    <w:p>
      <w:pPr>
        <w:keepLines/>
        <w:numPr>
          <w:ilvl w:val="0"/>
          <w:numId w:val="12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retirada de xeringues només amb pinces, guants i contenidor homologat; mai per infants o voluntariat no format;</w:t>
      </w:r>
    </w:p>
    <w:p>
      <w:pPr>
        <w:keepLines/>
        <w:numPr>
          <w:ilvl w:val="0"/>
          <w:numId w:val="12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canal directe de retirada urgent i reposició de neteja;</w:t>
      </w:r>
    </w:p>
    <w:p>
      <w:pPr>
        <w:keepLines/>
        <w:numPr>
          <w:ilvl w:val="0"/>
          <w:numId w:val="12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lavabo accessible i rentamans durant les hores amb personal;</w:t>
      </w:r>
    </w:p>
    <w:p>
      <w:pPr>
        <w:keepLines/>
        <w:numPr>
          <w:ilvl w:val="0"/>
          <w:numId w:val="12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contenidor de material punxant en ubicació acordada amb professionals;</w:t>
      </w:r>
    </w:p>
    <w:p>
      <w:pPr>
        <w:keepLines/>
        <w:numPr>
          <w:ilvl w:val="0"/>
          <w:numId w:val="12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reunió setmanal de coordinació durant la posada en marxa i mensual després;</w:t>
      </w:r>
    </w:p>
    <w:p>
      <w:pPr>
        <w:keepLines/>
        <w:numPr>
          <w:ilvl w:val="0"/>
          <w:numId w:val="12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derivació social i sanitària voluntària, no funció policial;</w:t>
      </w:r>
    </w:p>
    <w:p>
      <w:pPr>
        <w:keepLines/>
        <w:numPr>
          <w:ilvl w:val="0"/>
          <w:numId w:val="12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revisió trimestral de dades: incidències, temps de resposta i punts conflictius;</w:t>
      </w:r>
    </w:p>
    <w:p>
      <w:pPr>
        <w:keepLines/>
        <w:numPr>
          <w:ilvl w:val="0"/>
          <w:numId w:val="12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demanda a l’Ajuntament d’una solució sanitària pública fora de l’horari del jardí, perquè Benet no pot assumir tot el dèficit de lavabos de l’entorn.</w:t>
      </w:r>
    </w:p>
    <w:p>
      <w:pPr>
        <w:pStyle w:val="Heading1"/>
        <w:pageBreakBefore/>
        <w:keepNext/>
      </w:pPr>
      <w:r>
        <w:rPr>
          <w:rFonts w:ascii="Calibri" w:hAnsi="Calibri"/>
          <w:b/>
          <w:color w:val="245A7A"/>
          <w:sz w:val="32"/>
        </w:rPr>
        <w:t>7. Equip professional</w:t>
      </w:r>
    </w:p>
    <w:p>
      <w:r>
        <w:rPr>
          <w:rFonts w:ascii="Calibri" w:hAnsi="Calibri"/>
          <w:color w:val="1C2428"/>
          <w:sz w:val="21"/>
        </w:rPr>
        <w:t>El voluntariat continuarà sent valuós, però la continuïtat i les situacions sensibles requereixen personal amb experiència.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8"/>
          <w:left w:val="single" w:sz="6" w:space="0" w:color="C8D1D8"/>
          <w:bottom w:val="single" w:sz="6" w:space="0" w:color="C8D1D8"/>
          <w:right w:val="single" w:sz="6" w:space="0" w:color="C8D1D8"/>
          <w:insideH w:val="single" w:sz="6" w:space="0" w:color="C8D1D8"/>
          <w:insideV w:val="single" w:sz="6" w:space="0" w:color="C8D1D8"/>
        </w:tblBorders>
      </w:tblPr>
      <w:tblGrid>
        <w:gridCol w:w="5500"/>
        <w:gridCol w:w="1500"/>
        <w:gridCol w:w="2360"/>
      </w:tblGrid>
      <w:tr>
        <w:trPr>
          <w:tblHeader/>
          <w:cantSplit/>
        </w:trPr>
        <w:tc>
          <w:tcPr>
            <w:tcW w:type="dxa" w:w="5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245A7A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Funció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245A7A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Dedicació</w:t>
            </w:r>
          </w:p>
        </w:tc>
        <w:tc>
          <w:tcPr>
            <w:tcW w:type="dxa" w:w="2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245A7A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Cost empresa anual estimat</w:t>
            </w:r>
          </w:p>
        </w:tc>
      </w:tr>
      <w:tr>
        <w:trPr>
          <w:cantSplit/>
        </w:trPr>
        <w:tc>
          <w:tcPr>
            <w:tcW w:type="dxa" w:w="5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C2428"/>
                <w:sz w:val="17"/>
              </w:rPr>
              <w:t>Direcció de projecte i aliances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</w:pPr>
            <w:r>
              <w:rPr>
                <w:rFonts w:ascii="Calibri" w:hAnsi="Calibri"/>
                <w:color w:val="1C2428"/>
                <w:sz w:val="17"/>
              </w:rPr>
              <w:t>1,0 jornada</w:t>
            </w:r>
          </w:p>
        </w:tc>
        <w:tc>
          <w:tcPr>
            <w:tcW w:type="dxa" w:w="2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</w:pPr>
            <w:r>
              <w:rPr>
                <w:rFonts w:ascii="Calibri" w:hAnsi="Calibri"/>
                <w:color w:val="1C2428"/>
                <w:sz w:val="17"/>
              </w:rPr>
              <w:t>48.000 €</w:t>
            </w:r>
          </w:p>
        </w:tc>
      </w:tr>
      <w:tr>
        <w:trPr>
          <w:cantSplit/>
        </w:trPr>
        <w:tc>
          <w:tcPr>
            <w:tcW w:type="dxa" w:w="5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C2428"/>
                <w:sz w:val="17"/>
              </w:rPr>
              <w:t>Treballador/a social sènior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right"/>
            </w:pPr>
            <w:r>
              <w:rPr>
                <w:rFonts w:ascii="Calibri" w:hAnsi="Calibri"/>
                <w:color w:val="1C2428"/>
                <w:sz w:val="17"/>
              </w:rPr>
              <w:t>1,0 jornada</w:t>
            </w:r>
          </w:p>
        </w:tc>
        <w:tc>
          <w:tcPr>
            <w:tcW w:type="dxa" w:w="2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right"/>
            </w:pPr>
            <w:r>
              <w:rPr>
                <w:rFonts w:ascii="Calibri" w:hAnsi="Calibri"/>
                <w:color w:val="1C2428"/>
                <w:sz w:val="17"/>
              </w:rPr>
              <w:t>50.000 €</w:t>
            </w:r>
          </w:p>
        </w:tc>
      </w:tr>
      <w:tr>
        <w:trPr>
          <w:cantSplit/>
        </w:trPr>
        <w:tc>
          <w:tcPr>
            <w:tcW w:type="dxa" w:w="5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C2428"/>
                <w:sz w:val="17"/>
              </w:rPr>
              <w:t>Educador/a social i mediació comunitària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</w:pPr>
            <w:r>
              <w:rPr>
                <w:rFonts w:ascii="Calibri" w:hAnsi="Calibri"/>
                <w:color w:val="1C2428"/>
                <w:sz w:val="17"/>
              </w:rPr>
              <w:t>1,0 jornada</w:t>
            </w:r>
          </w:p>
        </w:tc>
        <w:tc>
          <w:tcPr>
            <w:tcW w:type="dxa" w:w="2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</w:pPr>
            <w:r>
              <w:rPr>
                <w:rFonts w:ascii="Calibri" w:hAnsi="Calibri"/>
                <w:color w:val="1C2428"/>
                <w:sz w:val="17"/>
              </w:rPr>
              <w:t>43.000 €</w:t>
            </w:r>
          </w:p>
        </w:tc>
      </w:tr>
      <w:tr>
        <w:trPr>
          <w:cantSplit/>
        </w:trPr>
        <w:tc>
          <w:tcPr>
            <w:tcW w:type="dxa" w:w="5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C2428"/>
                <w:sz w:val="17"/>
              </w:rPr>
              <w:t>Coordinació d’hort, clima, cultura i circularitat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right"/>
            </w:pPr>
            <w:r>
              <w:rPr>
                <w:rFonts w:ascii="Calibri" w:hAnsi="Calibri"/>
                <w:color w:val="1C2428"/>
                <w:sz w:val="17"/>
              </w:rPr>
              <w:t>0,6 jornada</w:t>
            </w:r>
          </w:p>
        </w:tc>
        <w:tc>
          <w:tcPr>
            <w:tcW w:type="dxa" w:w="2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right"/>
            </w:pPr>
            <w:r>
              <w:rPr>
                <w:rFonts w:ascii="Calibri" w:hAnsi="Calibri"/>
                <w:color w:val="1C2428"/>
                <w:sz w:val="17"/>
              </w:rPr>
              <w:t>28.000 €</w:t>
            </w:r>
          </w:p>
        </w:tc>
      </w:tr>
      <w:tr>
        <w:trPr>
          <w:cantSplit/>
        </w:trPr>
        <w:tc>
          <w:tcPr>
            <w:tcW w:type="dxa" w:w="5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C2428"/>
                <w:sz w:val="17"/>
              </w:rPr>
              <w:t>Operacions, neteja segura i manteniment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</w:pPr>
            <w:r>
              <w:rPr>
                <w:rFonts w:ascii="Calibri" w:hAnsi="Calibri"/>
                <w:color w:val="1C2428"/>
                <w:sz w:val="17"/>
              </w:rPr>
              <w:t>0,6 jornada</w:t>
            </w:r>
          </w:p>
        </w:tc>
        <w:tc>
          <w:tcPr>
            <w:tcW w:type="dxa" w:w="2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</w:pPr>
            <w:r>
              <w:rPr>
                <w:rFonts w:ascii="Calibri" w:hAnsi="Calibri"/>
                <w:color w:val="1C2428"/>
                <w:sz w:val="17"/>
              </w:rPr>
              <w:t>23.000 €</w:t>
            </w:r>
          </w:p>
        </w:tc>
      </w:tr>
      <w:tr>
        <w:trPr>
          <w:cantSplit/>
        </w:trPr>
        <w:tc>
          <w:tcPr>
            <w:tcW w:type="dxa" w:w="5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C2428"/>
                <w:sz w:val="17"/>
              </w:rPr>
              <w:t>Administració, justificació i captació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right"/>
            </w:pPr>
            <w:r>
              <w:rPr>
                <w:rFonts w:ascii="Calibri" w:hAnsi="Calibri"/>
                <w:color w:val="1C2428"/>
                <w:sz w:val="17"/>
              </w:rPr>
              <w:t>0,4 jornada</w:t>
            </w:r>
          </w:p>
        </w:tc>
        <w:tc>
          <w:tcPr>
            <w:tcW w:type="dxa" w:w="2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right"/>
            </w:pPr>
            <w:r>
              <w:rPr>
                <w:rFonts w:ascii="Calibri" w:hAnsi="Calibri"/>
                <w:color w:val="1C2428"/>
                <w:sz w:val="17"/>
              </w:rPr>
              <w:t>18.000 €</w:t>
            </w:r>
          </w:p>
        </w:tc>
      </w:tr>
      <w:tr>
        <w:trPr>
          <w:cantSplit/>
        </w:trPr>
        <w:tc>
          <w:tcPr>
            <w:tcW w:type="dxa" w:w="5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b/>
                <w:color w:val="1C2428"/>
                <w:sz w:val="17"/>
              </w:rPr>
              <w:t>Total personal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</w:pPr>
          </w:p>
        </w:tc>
        <w:tc>
          <w:tcPr>
            <w:tcW w:type="dxa" w:w="2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</w:pPr>
            <w:r>
              <w:rPr>
                <w:rFonts w:ascii="Calibri" w:hAnsi="Calibri"/>
                <w:b/>
                <w:color w:val="1C2428"/>
                <w:sz w:val="17"/>
              </w:rPr>
              <w:t>210.000 €</w:t>
            </w:r>
          </w:p>
        </w:tc>
      </w:tr>
    </w:tbl>
    <w:p>
      <w:pPr>
        <w:spacing w:after="20"/>
      </w:pPr>
    </w:p>
    <w:p>
      <w:r>
        <w:rPr>
          <w:rFonts w:ascii="Calibri" w:hAnsi="Calibri"/>
          <w:color w:val="1C2428"/>
          <w:sz w:val="21"/>
        </w:rPr>
        <w:t>Els imports són costos empresa orientatius i s’hauran d’ajustar al conveni aplicable, antiguitat, complements, prevenció de riscos i pressupostos reals.</w:t>
      </w:r>
    </w:p>
    <w:p>
      <w:pPr>
        <w:pStyle w:val="Heading1"/>
        <w:keepNext/>
      </w:pPr>
      <w:r>
        <w:rPr>
          <w:rFonts w:ascii="Calibri" w:hAnsi="Calibri"/>
          <w:b/>
          <w:color w:val="245A7A"/>
          <w:sz w:val="32"/>
        </w:rPr>
        <w:t>8. Pressupost d’inversió</w:t>
      </w:r>
    </w:p>
    <w:p>
      <w:r>
        <w:rPr>
          <w:rFonts w:ascii="Calibri" w:hAnsi="Calibri"/>
          <w:color w:val="1C2428"/>
          <w:sz w:val="21"/>
        </w:rPr>
        <w:t>Pressupost orientatiu en format comparable a una proposta d’inversió municipal: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8"/>
          <w:left w:val="single" w:sz="6" w:space="0" w:color="C8D1D8"/>
          <w:bottom w:val="single" w:sz="6" w:space="0" w:color="C8D1D8"/>
          <w:right w:val="single" w:sz="6" w:space="0" w:color="C8D1D8"/>
          <w:insideH w:val="single" w:sz="6" w:space="0" w:color="C8D1D8"/>
          <w:insideV w:val="single" w:sz="6" w:space="0" w:color="C8D1D8"/>
        </w:tblBorders>
      </w:tblPr>
      <w:tblGrid>
        <w:gridCol w:w="7300"/>
        <w:gridCol w:w="2060"/>
      </w:tblGrid>
      <w:tr>
        <w:trPr>
          <w:tblHeader/>
          <w:cantSplit/>
        </w:trPr>
        <w:tc>
          <w:tcPr>
            <w:tcW w:type="dxa" w:w="7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245A7A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Actuació</w:t>
            </w:r>
          </w:p>
        </w:tc>
        <w:tc>
          <w:tcPr>
            <w:tcW w:type="dxa" w:w="20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245A7A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Import</w:t>
            </w:r>
          </w:p>
        </w:tc>
      </w:tr>
      <w:tr>
        <w:trPr>
          <w:cantSplit/>
        </w:trPr>
        <w:tc>
          <w:tcPr>
            <w:tcW w:type="dxa" w:w="7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C2428"/>
                <w:sz w:val="17"/>
              </w:rPr>
              <w:t>Estudis previs, projecte, participació, llicències i direcció</w:t>
            </w:r>
          </w:p>
        </w:tc>
        <w:tc>
          <w:tcPr>
            <w:tcW w:type="dxa" w:w="20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</w:pPr>
            <w:r>
              <w:rPr>
                <w:rFonts w:ascii="Calibri" w:hAnsi="Calibri"/>
                <w:color w:val="1C2428"/>
                <w:sz w:val="17"/>
              </w:rPr>
              <w:t>48.000 €</w:t>
            </w:r>
          </w:p>
        </w:tc>
      </w:tr>
      <w:tr>
        <w:trPr>
          <w:cantSplit/>
        </w:trPr>
        <w:tc>
          <w:tcPr>
            <w:tcW w:type="dxa" w:w="7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C2428"/>
                <w:sz w:val="17"/>
              </w:rPr>
              <w:t>Arqueologia preventiva i protecció de restes</w:t>
            </w:r>
          </w:p>
        </w:tc>
        <w:tc>
          <w:tcPr>
            <w:tcW w:type="dxa" w:w="20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right"/>
            </w:pPr>
            <w:r>
              <w:rPr>
                <w:rFonts w:ascii="Calibri" w:hAnsi="Calibri"/>
                <w:color w:val="1C2428"/>
                <w:sz w:val="17"/>
              </w:rPr>
              <w:t>35.000 €</w:t>
            </w:r>
          </w:p>
        </w:tc>
      </w:tr>
      <w:tr>
        <w:trPr>
          <w:cantSplit/>
        </w:trPr>
        <w:tc>
          <w:tcPr>
            <w:tcW w:type="dxa" w:w="7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C2428"/>
                <w:sz w:val="17"/>
              </w:rPr>
              <w:t>Estructura reversible del pavelló</w:t>
            </w:r>
          </w:p>
        </w:tc>
        <w:tc>
          <w:tcPr>
            <w:tcW w:type="dxa" w:w="20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</w:pPr>
            <w:r>
              <w:rPr>
                <w:rFonts w:ascii="Calibri" w:hAnsi="Calibri"/>
                <w:color w:val="1C2428"/>
                <w:sz w:val="17"/>
              </w:rPr>
              <w:t>105.000 €</w:t>
            </w:r>
          </w:p>
        </w:tc>
      </w:tr>
      <w:tr>
        <w:trPr>
          <w:cantSplit/>
        </w:trPr>
        <w:tc>
          <w:tcPr>
            <w:tcW w:type="dxa" w:w="7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C2428"/>
                <w:sz w:val="17"/>
              </w:rPr>
              <w:t>Coberta/pèrgola vegetal, captació de pluja i reg</w:t>
            </w:r>
          </w:p>
        </w:tc>
        <w:tc>
          <w:tcPr>
            <w:tcW w:type="dxa" w:w="20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right"/>
            </w:pPr>
            <w:r>
              <w:rPr>
                <w:rFonts w:ascii="Calibri" w:hAnsi="Calibri"/>
                <w:color w:val="1C2428"/>
                <w:sz w:val="17"/>
              </w:rPr>
              <w:t>42.000 €</w:t>
            </w:r>
          </w:p>
        </w:tc>
      </w:tr>
      <w:tr>
        <w:trPr>
          <w:cantSplit/>
        </w:trPr>
        <w:tc>
          <w:tcPr>
            <w:tcW w:type="dxa" w:w="7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C2428"/>
                <w:sz w:val="17"/>
              </w:rPr>
              <w:t>Lavabo accessible, rentamans i instal·lacions higièniques</w:t>
            </w:r>
          </w:p>
        </w:tc>
        <w:tc>
          <w:tcPr>
            <w:tcW w:type="dxa" w:w="20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</w:pPr>
            <w:r>
              <w:rPr>
                <w:rFonts w:ascii="Calibri" w:hAnsi="Calibri"/>
                <w:color w:val="1C2428"/>
                <w:sz w:val="17"/>
              </w:rPr>
              <w:t>38.000 €</w:t>
            </w:r>
          </w:p>
        </w:tc>
      </w:tr>
      <w:tr>
        <w:trPr>
          <w:cantSplit/>
        </w:trPr>
        <w:tc>
          <w:tcPr>
            <w:tcW w:type="dxa" w:w="7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C2428"/>
                <w:sz w:val="17"/>
              </w:rPr>
              <w:t>Sòl permeable, plantació, hort i drenatge</w:t>
            </w:r>
          </w:p>
        </w:tc>
        <w:tc>
          <w:tcPr>
            <w:tcW w:type="dxa" w:w="20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right"/>
            </w:pPr>
            <w:r>
              <w:rPr>
                <w:rFonts w:ascii="Calibri" w:hAnsi="Calibri"/>
                <w:color w:val="1C2428"/>
                <w:sz w:val="17"/>
              </w:rPr>
              <w:t>55.000 €</w:t>
            </w:r>
          </w:p>
        </w:tc>
      </w:tr>
      <w:tr>
        <w:trPr>
          <w:cantSplit/>
        </w:trPr>
        <w:tc>
          <w:tcPr>
            <w:tcW w:type="dxa" w:w="7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C2428"/>
                <w:sz w:val="17"/>
              </w:rPr>
              <w:t>Exposició i interpretació del Rec Comtal</w:t>
            </w:r>
          </w:p>
        </w:tc>
        <w:tc>
          <w:tcPr>
            <w:tcW w:type="dxa" w:w="20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</w:pPr>
            <w:r>
              <w:rPr>
                <w:rFonts w:ascii="Calibri" w:hAnsi="Calibri"/>
                <w:color w:val="1C2428"/>
                <w:sz w:val="17"/>
              </w:rPr>
              <w:t>28.000 €</w:t>
            </w:r>
          </w:p>
        </w:tc>
      </w:tr>
      <w:tr>
        <w:trPr>
          <w:cantSplit/>
        </w:trPr>
        <w:tc>
          <w:tcPr>
            <w:tcW w:type="dxa" w:w="7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C2428"/>
                <w:sz w:val="17"/>
              </w:rPr>
              <w:t>Accessibilitat, il·luminació, visibilitat i seguretat</w:t>
            </w:r>
          </w:p>
        </w:tc>
        <w:tc>
          <w:tcPr>
            <w:tcW w:type="dxa" w:w="20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right"/>
            </w:pPr>
            <w:r>
              <w:rPr>
                <w:rFonts w:ascii="Calibri" w:hAnsi="Calibri"/>
                <w:color w:val="1C2428"/>
                <w:sz w:val="17"/>
              </w:rPr>
              <w:t>30.000 €</w:t>
            </w:r>
          </w:p>
        </w:tc>
      </w:tr>
      <w:tr>
        <w:trPr>
          <w:cantSplit/>
        </w:trPr>
        <w:tc>
          <w:tcPr>
            <w:tcW w:type="dxa" w:w="7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C2428"/>
                <w:sz w:val="17"/>
              </w:rPr>
              <w:t>Mobiliari, magatzem, equip cultural i taller circular</w:t>
            </w:r>
          </w:p>
        </w:tc>
        <w:tc>
          <w:tcPr>
            <w:tcW w:type="dxa" w:w="20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</w:pPr>
            <w:r>
              <w:rPr>
                <w:rFonts w:ascii="Calibri" w:hAnsi="Calibri"/>
                <w:color w:val="1C2428"/>
                <w:sz w:val="17"/>
              </w:rPr>
              <w:t>18.000 €</w:t>
            </w:r>
          </w:p>
        </w:tc>
      </w:tr>
      <w:tr>
        <w:trPr>
          <w:cantSplit/>
        </w:trPr>
        <w:tc>
          <w:tcPr>
            <w:tcW w:type="dxa" w:w="7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C2428"/>
                <w:sz w:val="17"/>
              </w:rPr>
              <w:t>Posada en marxa, formació i equip de neteja segura</w:t>
            </w:r>
          </w:p>
        </w:tc>
        <w:tc>
          <w:tcPr>
            <w:tcW w:type="dxa" w:w="20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right"/>
            </w:pPr>
            <w:r>
              <w:rPr>
                <w:rFonts w:ascii="Calibri" w:hAnsi="Calibri"/>
                <w:color w:val="1C2428"/>
                <w:sz w:val="17"/>
              </w:rPr>
              <w:t>12.000 €</w:t>
            </w:r>
          </w:p>
        </w:tc>
      </w:tr>
      <w:tr>
        <w:trPr>
          <w:cantSplit/>
        </w:trPr>
        <w:tc>
          <w:tcPr>
            <w:tcW w:type="dxa" w:w="7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C2428"/>
                <w:sz w:val="17"/>
              </w:rPr>
              <w:t>Contingència tècnica i arqueològica</w:t>
            </w:r>
          </w:p>
        </w:tc>
        <w:tc>
          <w:tcPr>
            <w:tcW w:type="dxa" w:w="20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</w:pPr>
            <w:r>
              <w:rPr>
                <w:rFonts w:ascii="Calibri" w:hAnsi="Calibri"/>
                <w:color w:val="1C2428"/>
                <w:sz w:val="17"/>
              </w:rPr>
              <w:t>34.000 €</w:t>
            </w:r>
          </w:p>
        </w:tc>
      </w:tr>
      <w:tr>
        <w:trPr>
          <w:cantSplit/>
        </w:trPr>
        <w:tc>
          <w:tcPr>
            <w:tcW w:type="dxa" w:w="7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b/>
                <w:color w:val="1C2428"/>
                <w:sz w:val="17"/>
              </w:rPr>
              <w:t>Total inversió</w:t>
            </w:r>
          </w:p>
        </w:tc>
        <w:tc>
          <w:tcPr>
            <w:tcW w:type="dxa" w:w="20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right"/>
            </w:pPr>
            <w:r>
              <w:rPr>
                <w:rFonts w:ascii="Calibri" w:hAnsi="Calibri"/>
                <w:b/>
                <w:color w:val="1C2428"/>
                <w:sz w:val="17"/>
              </w:rPr>
              <w:t>445.000 €</w:t>
            </w:r>
          </w:p>
        </w:tc>
      </w:tr>
    </w:tbl>
    <w:p>
      <w:pPr>
        <w:spacing w:after="20"/>
      </w:pPr>
    </w:p>
    <w:p>
      <w:r>
        <w:rPr>
          <w:rFonts w:ascii="Calibri" w:hAnsi="Calibri"/>
          <w:color w:val="1C2428"/>
          <w:sz w:val="21"/>
        </w:rPr>
        <w:t>El pressupost definitiu haurà de separar IVA, honoraris, ICIO/taxes, obra elegible per Paisatge Urbà i obra municipal no elegible. Qualsevol afectació arqueològica pot modificar solucions, calendari i contingència.</w:t>
      </w:r>
    </w:p>
    <w:p>
      <w:pPr>
        <w:pStyle w:val="Heading1"/>
        <w:keepNext/>
      </w:pPr>
      <w:r>
        <w:rPr>
          <w:rFonts w:ascii="Calibri" w:hAnsi="Calibri"/>
          <w:b/>
          <w:color w:val="245A7A"/>
          <w:sz w:val="32"/>
        </w:rPr>
        <w:t>9. Cost anual i sostenibilitat</w:t>
      </w:r>
    </w:p>
    <w:p>
      <w:pPr>
        <w:pStyle w:val="Heading2"/>
        <w:keepNext/>
      </w:pPr>
      <w:r>
        <w:rPr>
          <w:rFonts w:ascii="Calibri" w:hAnsi="Calibri"/>
          <w:b/>
          <w:color w:val="245A7A"/>
          <w:sz w:val="25"/>
        </w:rPr>
        <w:t>Cost operatiu estabilitzat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8"/>
          <w:left w:val="single" w:sz="6" w:space="0" w:color="C8D1D8"/>
          <w:bottom w:val="single" w:sz="6" w:space="0" w:color="C8D1D8"/>
          <w:right w:val="single" w:sz="6" w:space="0" w:color="C8D1D8"/>
          <w:insideH w:val="single" w:sz="6" w:space="0" w:color="C8D1D8"/>
          <w:insideV w:val="single" w:sz="6" w:space="0" w:color="C8D1D8"/>
        </w:tblBorders>
      </w:tblPr>
      <w:tblGrid>
        <w:gridCol w:w="7300"/>
        <w:gridCol w:w="2060"/>
      </w:tblGrid>
      <w:tr>
        <w:trPr>
          <w:tblHeader/>
          <w:cantSplit/>
        </w:trPr>
        <w:tc>
          <w:tcPr>
            <w:tcW w:type="dxa" w:w="7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245A7A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Partida anual</w:t>
            </w:r>
          </w:p>
        </w:tc>
        <w:tc>
          <w:tcPr>
            <w:tcW w:type="dxa" w:w="20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245A7A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Import</w:t>
            </w:r>
          </w:p>
        </w:tc>
      </w:tr>
      <w:tr>
        <w:trPr>
          <w:cantSplit/>
        </w:trPr>
        <w:tc>
          <w:tcPr>
            <w:tcW w:type="dxa" w:w="7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C2428"/>
                <w:sz w:val="17"/>
              </w:rPr>
              <w:t>Personal</w:t>
            </w:r>
          </w:p>
        </w:tc>
        <w:tc>
          <w:tcPr>
            <w:tcW w:type="dxa" w:w="20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</w:pPr>
            <w:r>
              <w:rPr>
                <w:rFonts w:ascii="Calibri" w:hAnsi="Calibri"/>
                <w:color w:val="1C2428"/>
                <w:sz w:val="17"/>
              </w:rPr>
              <w:t>210.000 €</w:t>
            </w:r>
          </w:p>
        </w:tc>
      </w:tr>
      <w:tr>
        <w:trPr>
          <w:cantSplit/>
        </w:trPr>
        <w:tc>
          <w:tcPr>
            <w:tcW w:type="dxa" w:w="7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C2428"/>
                <w:sz w:val="17"/>
              </w:rPr>
              <w:t>Activitats socials, culturals, circulars i mediació</w:t>
            </w:r>
          </w:p>
        </w:tc>
        <w:tc>
          <w:tcPr>
            <w:tcW w:type="dxa" w:w="20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right"/>
            </w:pPr>
            <w:r>
              <w:rPr>
                <w:rFonts w:ascii="Calibri" w:hAnsi="Calibri"/>
                <w:color w:val="1C2428"/>
                <w:sz w:val="17"/>
              </w:rPr>
              <w:t>15.000 €</w:t>
            </w:r>
          </w:p>
        </w:tc>
      </w:tr>
      <w:tr>
        <w:trPr>
          <w:cantSplit/>
        </w:trPr>
        <w:tc>
          <w:tcPr>
            <w:tcW w:type="dxa" w:w="7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C2428"/>
                <w:sz w:val="17"/>
              </w:rPr>
              <w:t>Manteniment, neteja, jardineria i residus sanitaris</w:t>
            </w:r>
          </w:p>
        </w:tc>
        <w:tc>
          <w:tcPr>
            <w:tcW w:type="dxa" w:w="20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</w:pPr>
            <w:r>
              <w:rPr>
                <w:rFonts w:ascii="Calibri" w:hAnsi="Calibri"/>
                <w:color w:val="1C2428"/>
                <w:sz w:val="17"/>
              </w:rPr>
              <w:t>12.000 €</w:t>
            </w:r>
          </w:p>
        </w:tc>
      </w:tr>
      <w:tr>
        <w:trPr>
          <w:cantSplit/>
        </w:trPr>
        <w:tc>
          <w:tcPr>
            <w:tcW w:type="dxa" w:w="7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C2428"/>
                <w:sz w:val="17"/>
              </w:rPr>
              <w:t>Subministraments, assegurances i comunicacions</w:t>
            </w:r>
          </w:p>
        </w:tc>
        <w:tc>
          <w:tcPr>
            <w:tcW w:type="dxa" w:w="20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right"/>
            </w:pPr>
            <w:r>
              <w:rPr>
                <w:rFonts w:ascii="Calibri" w:hAnsi="Calibri"/>
                <w:color w:val="1C2428"/>
                <w:sz w:val="17"/>
              </w:rPr>
              <w:t>9.000 €</w:t>
            </w:r>
          </w:p>
        </w:tc>
      </w:tr>
      <w:tr>
        <w:trPr>
          <w:cantSplit/>
        </w:trPr>
        <w:tc>
          <w:tcPr>
            <w:tcW w:type="dxa" w:w="7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C2428"/>
                <w:sz w:val="17"/>
              </w:rPr>
              <w:t>Conservació d’exposició i suport professional</w:t>
            </w:r>
          </w:p>
        </w:tc>
        <w:tc>
          <w:tcPr>
            <w:tcW w:type="dxa" w:w="20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</w:pPr>
            <w:r>
              <w:rPr>
                <w:rFonts w:ascii="Calibri" w:hAnsi="Calibri"/>
                <w:color w:val="1C2428"/>
                <w:sz w:val="17"/>
              </w:rPr>
              <w:t>5.000 €</w:t>
            </w:r>
          </w:p>
        </w:tc>
      </w:tr>
      <w:tr>
        <w:trPr>
          <w:cantSplit/>
        </w:trPr>
        <w:tc>
          <w:tcPr>
            <w:tcW w:type="dxa" w:w="7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C2428"/>
                <w:sz w:val="17"/>
              </w:rPr>
              <w:t>Administració, auditoria i protecció de dades</w:t>
            </w:r>
          </w:p>
        </w:tc>
        <w:tc>
          <w:tcPr>
            <w:tcW w:type="dxa" w:w="20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right"/>
            </w:pPr>
            <w:r>
              <w:rPr>
                <w:rFonts w:ascii="Calibri" w:hAnsi="Calibri"/>
                <w:color w:val="1C2428"/>
                <w:sz w:val="17"/>
              </w:rPr>
              <w:t>4.000 €</w:t>
            </w:r>
          </w:p>
        </w:tc>
      </w:tr>
      <w:tr>
        <w:trPr>
          <w:cantSplit/>
        </w:trPr>
        <w:tc>
          <w:tcPr>
            <w:tcW w:type="dxa" w:w="7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C2428"/>
                <w:sz w:val="17"/>
              </w:rPr>
              <w:t>Reserva de reposició i contingència</w:t>
            </w:r>
          </w:p>
        </w:tc>
        <w:tc>
          <w:tcPr>
            <w:tcW w:type="dxa" w:w="20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</w:pPr>
            <w:r>
              <w:rPr>
                <w:rFonts w:ascii="Calibri" w:hAnsi="Calibri"/>
                <w:color w:val="1C2428"/>
                <w:sz w:val="17"/>
              </w:rPr>
              <w:t>5.000 €</w:t>
            </w:r>
          </w:p>
        </w:tc>
      </w:tr>
      <w:tr>
        <w:trPr>
          <w:cantSplit/>
        </w:trPr>
        <w:tc>
          <w:tcPr>
            <w:tcW w:type="dxa" w:w="7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b/>
                <w:color w:val="1C2428"/>
                <w:sz w:val="17"/>
              </w:rPr>
              <w:t>Total anual</w:t>
            </w:r>
          </w:p>
        </w:tc>
        <w:tc>
          <w:tcPr>
            <w:tcW w:type="dxa" w:w="20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right"/>
            </w:pPr>
            <w:r>
              <w:rPr>
                <w:rFonts w:ascii="Calibri" w:hAnsi="Calibri"/>
                <w:b/>
                <w:color w:val="1C2428"/>
                <w:sz w:val="17"/>
              </w:rPr>
              <w:t>260.000 €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  <w:b/>
          <w:color w:val="245A7A"/>
          <w:sz w:val="25"/>
        </w:rPr>
        <w:t>Ingressos objectiu a partir del tercer any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8"/>
          <w:left w:val="single" w:sz="6" w:space="0" w:color="C8D1D8"/>
          <w:bottom w:val="single" w:sz="6" w:space="0" w:color="C8D1D8"/>
          <w:right w:val="single" w:sz="6" w:space="0" w:color="C8D1D8"/>
          <w:insideH w:val="single" w:sz="6" w:space="0" w:color="C8D1D8"/>
          <w:insideV w:val="single" w:sz="6" w:space="0" w:color="C8D1D8"/>
        </w:tblBorders>
      </w:tblPr>
      <w:tblGrid>
        <w:gridCol w:w="5200"/>
        <w:gridCol w:w="2080"/>
        <w:gridCol w:w="2080"/>
      </w:tblGrid>
      <w:tr>
        <w:trPr>
          <w:tblHeader/>
          <w:cantSplit/>
        </w:trPr>
        <w:tc>
          <w:tcPr>
            <w:tcW w:type="dxa" w:w="52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245A7A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Font</w:t>
            </w:r>
          </w:p>
        </w:tc>
        <w:tc>
          <w:tcPr>
            <w:tcW w:type="dxa" w:w="20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245A7A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Objectiu anual</w:t>
            </w:r>
          </w:p>
        </w:tc>
        <w:tc>
          <w:tcPr>
            <w:tcW w:type="dxa" w:w="20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245A7A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Pes orientatiu</w:t>
            </w:r>
          </w:p>
        </w:tc>
      </w:tr>
      <w:tr>
        <w:trPr>
          <w:cantSplit/>
        </w:trPr>
        <w:tc>
          <w:tcPr>
            <w:tcW w:type="dxa" w:w="52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C2428"/>
                <w:sz w:val="17"/>
              </w:rPr>
              <w:t>Convenis RSC i jornades corporatives</w:t>
            </w:r>
          </w:p>
        </w:tc>
        <w:tc>
          <w:tcPr>
            <w:tcW w:type="dxa" w:w="20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</w:pPr>
            <w:r>
              <w:rPr>
                <w:rFonts w:ascii="Calibri" w:hAnsi="Calibri"/>
                <w:color w:val="1C2428"/>
                <w:sz w:val="17"/>
              </w:rPr>
              <w:t>120.000 €</w:t>
            </w:r>
          </w:p>
        </w:tc>
        <w:tc>
          <w:tcPr>
            <w:tcW w:type="dxa" w:w="20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</w:pPr>
            <w:r>
              <w:rPr>
                <w:rFonts w:ascii="Calibri" w:hAnsi="Calibri"/>
                <w:color w:val="1C2428"/>
                <w:sz w:val="17"/>
              </w:rPr>
              <w:t>46%</w:t>
            </w:r>
          </w:p>
        </w:tc>
      </w:tr>
      <w:tr>
        <w:trPr>
          <w:cantSplit/>
        </w:trPr>
        <w:tc>
          <w:tcPr>
            <w:tcW w:type="dxa" w:w="52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C2428"/>
                <w:sz w:val="17"/>
              </w:rPr>
              <w:t>Conveni municipal i subvencions de programes</w:t>
            </w:r>
          </w:p>
        </w:tc>
        <w:tc>
          <w:tcPr>
            <w:tcW w:type="dxa" w:w="20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right"/>
            </w:pPr>
            <w:r>
              <w:rPr>
                <w:rFonts w:ascii="Calibri" w:hAnsi="Calibri"/>
                <w:color w:val="1C2428"/>
                <w:sz w:val="17"/>
              </w:rPr>
              <w:t>65.000 €</w:t>
            </w:r>
          </w:p>
        </w:tc>
        <w:tc>
          <w:tcPr>
            <w:tcW w:type="dxa" w:w="20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right"/>
            </w:pPr>
            <w:r>
              <w:rPr>
                <w:rFonts w:ascii="Calibri" w:hAnsi="Calibri"/>
                <w:color w:val="1C2428"/>
                <w:sz w:val="17"/>
              </w:rPr>
              <w:t>25%</w:t>
            </w:r>
          </w:p>
        </w:tc>
      </w:tr>
      <w:tr>
        <w:trPr>
          <w:cantSplit/>
        </w:trPr>
        <w:tc>
          <w:tcPr>
            <w:tcW w:type="dxa" w:w="52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C2428"/>
                <w:sz w:val="17"/>
              </w:rPr>
              <w:t>Tallers, visites, actes culturals, productes circulars i cessió compatible</w:t>
            </w:r>
          </w:p>
        </w:tc>
        <w:tc>
          <w:tcPr>
            <w:tcW w:type="dxa" w:w="20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</w:pPr>
            <w:r>
              <w:rPr>
                <w:rFonts w:ascii="Calibri" w:hAnsi="Calibri"/>
                <w:color w:val="1C2428"/>
                <w:sz w:val="17"/>
              </w:rPr>
              <w:t>35.000 €</w:t>
            </w:r>
          </w:p>
        </w:tc>
        <w:tc>
          <w:tcPr>
            <w:tcW w:type="dxa" w:w="20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</w:pPr>
            <w:r>
              <w:rPr>
                <w:rFonts w:ascii="Calibri" w:hAnsi="Calibri"/>
                <w:color w:val="1C2428"/>
                <w:sz w:val="17"/>
              </w:rPr>
              <w:t>13%</w:t>
            </w:r>
          </w:p>
        </w:tc>
      </w:tr>
      <w:tr>
        <w:trPr>
          <w:cantSplit/>
        </w:trPr>
        <w:tc>
          <w:tcPr>
            <w:tcW w:type="dxa" w:w="52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C2428"/>
                <w:sz w:val="17"/>
              </w:rPr>
              <w:t>Contractes amb escoles, artistes i institucions culturals</w:t>
            </w:r>
          </w:p>
        </w:tc>
        <w:tc>
          <w:tcPr>
            <w:tcW w:type="dxa" w:w="20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right"/>
            </w:pPr>
            <w:r>
              <w:rPr>
                <w:rFonts w:ascii="Calibri" w:hAnsi="Calibri"/>
                <w:color w:val="1C2428"/>
                <w:sz w:val="17"/>
              </w:rPr>
              <w:t>20.000 €</w:t>
            </w:r>
          </w:p>
        </w:tc>
        <w:tc>
          <w:tcPr>
            <w:tcW w:type="dxa" w:w="20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right"/>
            </w:pPr>
            <w:r>
              <w:rPr>
                <w:rFonts w:ascii="Calibri" w:hAnsi="Calibri"/>
                <w:color w:val="1C2428"/>
                <w:sz w:val="17"/>
              </w:rPr>
              <w:t>8%</w:t>
            </w:r>
          </w:p>
        </w:tc>
      </w:tr>
      <w:tr>
        <w:trPr>
          <w:cantSplit/>
        </w:trPr>
        <w:tc>
          <w:tcPr>
            <w:tcW w:type="dxa" w:w="52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C2428"/>
                <w:sz w:val="17"/>
              </w:rPr>
              <w:t>Quotes, donacions i micromecenatge</w:t>
            </w:r>
          </w:p>
        </w:tc>
        <w:tc>
          <w:tcPr>
            <w:tcW w:type="dxa" w:w="20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</w:pPr>
            <w:r>
              <w:rPr>
                <w:rFonts w:ascii="Calibri" w:hAnsi="Calibri"/>
                <w:color w:val="1C2428"/>
                <w:sz w:val="17"/>
              </w:rPr>
              <w:t>20.000 €</w:t>
            </w:r>
          </w:p>
        </w:tc>
        <w:tc>
          <w:tcPr>
            <w:tcW w:type="dxa" w:w="20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</w:pPr>
            <w:r>
              <w:rPr>
                <w:rFonts w:ascii="Calibri" w:hAnsi="Calibri"/>
                <w:color w:val="1C2428"/>
                <w:sz w:val="17"/>
              </w:rPr>
              <w:t>8%</w:t>
            </w:r>
          </w:p>
        </w:tc>
      </w:tr>
      <w:tr>
        <w:trPr>
          <w:cantSplit/>
        </w:trPr>
        <w:tc>
          <w:tcPr>
            <w:tcW w:type="dxa" w:w="52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b/>
                <w:color w:val="1C2428"/>
                <w:sz w:val="17"/>
              </w:rPr>
              <w:t>Total objectiu</w:t>
            </w:r>
          </w:p>
        </w:tc>
        <w:tc>
          <w:tcPr>
            <w:tcW w:type="dxa" w:w="20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right"/>
            </w:pPr>
            <w:r>
              <w:rPr>
                <w:rFonts w:ascii="Calibri" w:hAnsi="Calibri"/>
                <w:b/>
                <w:color w:val="1C2428"/>
                <w:sz w:val="17"/>
              </w:rPr>
              <w:t>260.000 €</w:t>
            </w:r>
          </w:p>
        </w:tc>
        <w:tc>
          <w:tcPr>
            <w:tcW w:type="dxa" w:w="20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right"/>
            </w:pPr>
            <w:r>
              <w:rPr>
                <w:rFonts w:ascii="Calibri" w:hAnsi="Calibri"/>
                <w:b/>
                <w:color w:val="1C2428"/>
                <w:sz w:val="17"/>
              </w:rPr>
              <w:t>100%</w:t>
            </w:r>
          </w:p>
        </w:tc>
      </w:tr>
    </w:tbl>
    <w:p>
      <w:pPr>
        <w:spacing w:after="20"/>
      </w:pPr>
    </w:p>
    <w:p>
      <w:r>
        <w:rPr>
          <w:rFonts w:ascii="Calibri" w:hAnsi="Calibri"/>
          <w:color w:val="1C2428"/>
          <w:sz w:val="21"/>
        </w:rPr>
        <w:t>La sostenibilitat no s’ha de confondre amb independència absoluta del sector públic. L’espai genera béns públics—cura, inclusió, verd, patrimoni i salut comunitària—que justifiquen un conveni municipal estable. Alhora, cap empresa hauria d’aportar més del 15% del pressupost anual per evitar dependència. Es crearà una reserva equivalent a tres mesos de despesa fixa abans d’ampliar estructura.</w:t>
      </w:r>
    </w:p>
    <w:p>
      <w:pPr>
        <w:pStyle w:val="Heading2"/>
        <w:keepNext/>
      </w:pPr>
      <w:r>
        <w:rPr>
          <w:rFonts w:ascii="Calibri" w:hAnsi="Calibri"/>
          <w:b/>
          <w:color w:val="245A7A"/>
          <w:sz w:val="25"/>
        </w:rPr>
        <w:t>Finançament per fases i convocatòries</w:t>
      </w:r>
    </w:p>
    <w:p>
      <w:r>
        <w:rPr>
          <w:rFonts w:ascii="Calibri" w:hAnsi="Calibri"/>
          <w:b/>
          <w:color w:val="1C2428"/>
          <w:sz w:val="21"/>
        </w:rPr>
        <w:t>Decidim no és una subvenció directa.</w:t>
      </w:r>
      <w:r>
        <w:rPr>
          <w:rFonts w:ascii="Calibri" w:hAnsi="Calibri"/>
          <w:color w:val="1C2428"/>
          <w:sz w:val="21"/>
        </w:rPr>
        <w:t xml:space="preserve"> El cicle de Pressupostos Participatius 2024–2027 està tancat i el següent encara no s’ha anunciat. Els projectes seleccionats són inversions executades per l’Ajuntament. Per això, el paquet físic de 445.000 € s’ha de presentar com a inversió municipal—directa o en un futur cicle—amb l’associació com a sòcia comunitària.</w:t>
      </w:r>
    </w:p>
    <w:p>
      <w:r>
        <w:rPr>
          <w:rFonts w:ascii="Calibri" w:hAnsi="Calibri"/>
          <w:color w:val="1C2428"/>
          <w:sz w:val="21"/>
        </w:rPr>
        <w:t xml:space="preserve">La millor convocatòria immediata és </w:t>
      </w:r>
      <w:r>
        <w:rPr>
          <w:rFonts w:ascii="Calibri" w:hAnsi="Calibri"/>
          <w:b/>
          <w:color w:val="1C2428"/>
          <w:sz w:val="21"/>
        </w:rPr>
        <w:t>EIT Community New European Bauhaus 2027</w:t>
      </w:r>
      <w:r>
        <w:rPr>
          <w:rFonts w:ascii="Calibri" w:hAnsi="Calibri"/>
          <w:color w:val="1C2428"/>
          <w:sz w:val="21"/>
        </w:rPr>
        <w:t xml:space="preserve">, oberta fins al </w:t>
      </w:r>
      <w:r>
        <w:rPr>
          <w:rFonts w:ascii="Calibri" w:hAnsi="Calibri"/>
          <w:b/>
          <w:color w:val="1C2428"/>
          <w:sz w:val="21"/>
        </w:rPr>
        <w:t>30 de setembre de 2026</w:t>
      </w:r>
      <w:r>
        <w:rPr>
          <w:rFonts w:ascii="Calibri" w:hAnsi="Calibri"/>
          <w:color w:val="1C2428"/>
          <w:sz w:val="21"/>
        </w:rPr>
        <w:t>: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b/>
          <w:color w:val="1C2428"/>
          <w:sz w:val="21"/>
        </w:rPr>
        <w:t>Connect NEB:</w:t>
      </w:r>
      <w:r>
        <w:rPr>
          <w:rFonts w:ascii="Calibri" w:hAnsi="Calibri"/>
          <w:color w:val="1C2428"/>
          <w:sz w:val="21"/>
        </w:rPr>
        <w:t xml:space="preserve"> 15.300 € de subvenció i 2.700 € de cofinançament per a una entitat jurídica; adequat per al co-disseny, la governança, el laboratori comunitari i un prototip.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b/>
          <w:color w:val="1C2428"/>
          <w:sz w:val="21"/>
        </w:rPr>
        <w:t>Co-create NEB:</w:t>
      </w:r>
      <w:r>
        <w:rPr>
          <w:rFonts w:ascii="Calibri" w:hAnsi="Calibri"/>
          <w:color w:val="1C2428"/>
          <w:sz w:val="21"/>
        </w:rPr>
        <w:t xml:space="preserve"> 49.300 € de subvenció i 8.700 € de cofinançament; exigeix 2–4 socis i almenys un municipi, regió o entitat vinculada; adequat per a una actuació pilot visible a l’espai públic.</w:t>
      </w:r>
    </w:p>
    <w:p>
      <w:r>
        <w:rPr>
          <w:rFonts w:ascii="Calibri" w:hAnsi="Calibri"/>
          <w:color w:val="1C2428"/>
          <w:sz w:val="21"/>
        </w:rPr>
        <w:t xml:space="preserve">Les convocatòries estatals de </w:t>
      </w:r>
      <w:r>
        <w:rPr>
          <w:rFonts w:ascii="Calibri" w:hAnsi="Calibri"/>
          <w:b/>
          <w:color w:val="1C2428"/>
          <w:sz w:val="21"/>
        </w:rPr>
        <w:t>Cultura amb impacte social</w:t>
      </w:r>
      <w:r>
        <w:rPr>
          <w:rFonts w:ascii="Calibri" w:hAnsi="Calibri"/>
          <w:color w:val="1C2428"/>
          <w:sz w:val="21"/>
        </w:rPr>
        <w:t xml:space="preserve">—10.000–80.000 € el 2026—, </w:t>
      </w:r>
      <w:r>
        <w:rPr>
          <w:rFonts w:ascii="Calibri" w:hAnsi="Calibri"/>
          <w:b/>
          <w:color w:val="1C2428"/>
          <w:sz w:val="21"/>
        </w:rPr>
        <w:t>Acció i Promoció Cultural</w:t>
      </w:r>
      <w:r>
        <w:rPr>
          <w:rFonts w:ascii="Calibri" w:hAnsi="Calibri"/>
          <w:color w:val="1C2428"/>
          <w:sz w:val="21"/>
        </w:rPr>
        <w:t xml:space="preserve">—fins a 50.000 €—i </w:t>
      </w:r>
      <w:r>
        <w:rPr>
          <w:rFonts w:ascii="Calibri" w:hAnsi="Calibri"/>
          <w:b/>
          <w:color w:val="1C2428"/>
          <w:sz w:val="21"/>
        </w:rPr>
        <w:t>Agenda 2030</w:t>
      </w:r>
      <w:r>
        <w:rPr>
          <w:rFonts w:ascii="Calibri" w:hAnsi="Calibri"/>
          <w:color w:val="1C2428"/>
          <w:sz w:val="21"/>
        </w:rPr>
        <w:t>—25.000–300.000 € sol·licitats—encaixen amb programes socials, culturals i climàtics, però les rondes de 2026 estan tancades i s’han de preparar per al 2027. El Cos Europeu de Solidaritat pot servir per a un projecte realment liderat per joves; Erasmus+ per a educació transnacional. LIFE, CERV i Horizon/NEB només són proporcionats amb socis públics, universitaris o europeus experimentats.</w:t>
      </w:r>
    </w:p>
    <w:p>
      <w:r>
        <w:rPr>
          <w:rFonts w:ascii="Calibri" w:hAnsi="Calibri"/>
          <w:color w:val="1C2428"/>
          <w:sz w:val="21"/>
        </w:rPr>
        <w:t>Cap subvenció s’imputarà dues vegades a la mateixa despesa. Cada paquet tindrà centre de cost, cofinançament, tresoreria, convenis i justificació separats.</w:t>
      </w:r>
    </w:p>
    <w:p>
      <w:pPr>
        <w:pStyle w:val="Heading1"/>
        <w:keepNext/>
      </w:pPr>
      <w:r>
        <w:rPr>
          <w:rFonts w:ascii="Calibri" w:hAnsi="Calibri"/>
          <w:b/>
          <w:color w:val="245A7A"/>
          <w:sz w:val="32"/>
        </w:rPr>
        <w:t>10. Governança i aliances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conveni d’ús o gestió amb propietat, horaris i responsabilitats definides;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comissió de governança amb associació, Fundació Comtal, veïnat i representació pública;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taula operativa amb CAS/ASPB, serveis socials, neteja i Districte;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consell assessor de treball social, arqueologia, arquitectura i horticultura;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registre públic anual de finançadors, aportacions i conflictes d’interès;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protocol de protecció de menors, dades, voluntariat i comunicació d’incidències.</w:t>
      </w:r>
    </w:p>
    <w:p>
      <w:pPr>
        <w:pStyle w:val="Heading1"/>
        <w:pageBreakBefore/>
        <w:keepNext/>
      </w:pPr>
      <w:r>
        <w:rPr>
          <w:rFonts w:ascii="Calibri" w:hAnsi="Calibri"/>
          <w:b/>
          <w:color w:val="245A7A"/>
          <w:sz w:val="32"/>
        </w:rPr>
        <w:t>11. Calendari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8"/>
          <w:left w:val="single" w:sz="6" w:space="0" w:color="C8D1D8"/>
          <w:bottom w:val="single" w:sz="6" w:space="0" w:color="C8D1D8"/>
          <w:right w:val="single" w:sz="6" w:space="0" w:color="C8D1D8"/>
          <w:insideH w:val="single" w:sz="6" w:space="0" w:color="C8D1D8"/>
          <w:insideV w:val="single" w:sz="6" w:space="0" w:color="C8D1D8"/>
        </w:tblBorders>
      </w:tblPr>
      <w:tblGrid>
        <w:gridCol w:w="4300"/>
        <w:gridCol w:w="1500"/>
        <w:gridCol w:w="3560"/>
      </w:tblGrid>
      <w:tr>
        <w:trPr>
          <w:tblHeader/>
          <w:cantSplit/>
        </w:trPr>
        <w:tc>
          <w:tcPr>
            <w:tcW w:type="dxa" w:w="4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245A7A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245A7A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Termini</w:t>
            </w:r>
          </w:p>
        </w:tc>
        <w:tc>
          <w:tcPr>
            <w:tcW w:type="dxa" w:w="35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245A7A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Resultat</w:t>
            </w:r>
          </w:p>
        </w:tc>
      </w:tr>
      <w:tr>
        <w:trPr>
          <w:cantSplit/>
        </w:trPr>
        <w:tc>
          <w:tcPr>
            <w:tcW w:type="dxa" w:w="4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C2428"/>
                <w:sz w:val="17"/>
              </w:rPr>
              <w:t>1. Acord i viabilitat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C2428"/>
                <w:sz w:val="17"/>
              </w:rPr>
              <w:t>0–3 mesos</w:t>
            </w:r>
          </w:p>
        </w:tc>
        <w:tc>
          <w:tcPr>
            <w:tcW w:type="dxa" w:w="35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C2428"/>
                <w:sz w:val="17"/>
              </w:rPr>
              <w:t>propietat, conveni, diagnosi, consulta IMPU i equip promotor</w:t>
            </w:r>
          </w:p>
        </w:tc>
      </w:tr>
      <w:tr>
        <w:trPr>
          <w:cantSplit/>
        </w:trPr>
        <w:tc>
          <w:tcPr>
            <w:tcW w:type="dxa" w:w="4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C2428"/>
                <w:sz w:val="17"/>
              </w:rPr>
              <w:t>2. Co-disseny i avantprojecte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C2428"/>
                <w:sz w:val="17"/>
              </w:rPr>
              <w:t>3–6 mesos</w:t>
            </w:r>
          </w:p>
        </w:tc>
        <w:tc>
          <w:tcPr>
            <w:tcW w:type="dxa" w:w="35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C2428"/>
                <w:sz w:val="17"/>
              </w:rPr>
              <w:t>dues opcions arquitectòniques, pressupost i protocol social</w:t>
            </w:r>
          </w:p>
        </w:tc>
      </w:tr>
      <w:tr>
        <w:trPr>
          <w:cantSplit/>
        </w:trPr>
        <w:tc>
          <w:tcPr>
            <w:tcW w:type="dxa" w:w="4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C2428"/>
                <w:sz w:val="17"/>
              </w:rPr>
              <w:t>3. Projecte, permisos i finançament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C2428"/>
                <w:sz w:val="17"/>
              </w:rPr>
              <w:t>6–12 mesos</w:t>
            </w:r>
          </w:p>
        </w:tc>
        <w:tc>
          <w:tcPr>
            <w:tcW w:type="dxa" w:w="35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C2428"/>
                <w:sz w:val="17"/>
              </w:rPr>
              <w:t>projecte executiu, arqueologia, llicència i acord d’inversió</w:t>
            </w:r>
          </w:p>
        </w:tc>
      </w:tr>
      <w:tr>
        <w:trPr>
          <w:cantSplit/>
        </w:trPr>
        <w:tc>
          <w:tcPr>
            <w:tcW w:type="dxa" w:w="4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C2428"/>
                <w:sz w:val="17"/>
              </w:rPr>
              <w:t>4. Obres i contractació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C2428"/>
                <w:sz w:val="17"/>
              </w:rPr>
              <w:t>12–20 mesos</w:t>
            </w:r>
          </w:p>
        </w:tc>
        <w:tc>
          <w:tcPr>
            <w:tcW w:type="dxa" w:w="35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C2428"/>
                <w:sz w:val="17"/>
              </w:rPr>
              <w:t>jardí i pavelló executats; equip contractat i format</w:t>
            </w:r>
          </w:p>
        </w:tc>
      </w:tr>
      <w:tr>
        <w:trPr>
          <w:cantSplit/>
        </w:trPr>
        <w:tc>
          <w:tcPr>
            <w:tcW w:type="dxa" w:w="4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C2428"/>
                <w:sz w:val="17"/>
              </w:rPr>
              <w:t>5. Posada en marxa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C2428"/>
                <w:sz w:val="17"/>
              </w:rPr>
              <w:t>20–24 mesos</w:t>
            </w:r>
          </w:p>
        </w:tc>
        <w:tc>
          <w:tcPr>
            <w:tcW w:type="dxa" w:w="35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C2428"/>
                <w:sz w:val="17"/>
              </w:rPr>
              <w:t>programació, convenis RSC, seguiment i avaluació inicial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/>
          <w:b/>
          <w:color w:val="245A7A"/>
          <w:sz w:val="32"/>
        </w:rPr>
        <w:t>12. Resultats i indicadors</w:t>
      </w:r>
    </w:p>
    <w:p>
      <w:r>
        <w:rPr>
          <w:rFonts w:ascii="Calibri" w:hAnsi="Calibri"/>
          <w:color w:val="1C2428"/>
          <w:sz w:val="21"/>
        </w:rPr>
        <w:t>En el tercer any de funcionament es preveu: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un mínim de 1.500 participacions anuals en activitats;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300 participants infantils i juvenils, amb protocols de protecció;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80 sessions educatives, comunitàries o patrimonials;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almenys 12 actes culturals de petita escala amb control d’aforament, horari i so;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almenys 18 tallers de reparació, reutilització o upcycling, amb materials recuperats registrats;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12 convenis RSC actius, amb aportació econòmica i impacte auditat;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cobertura professional durant almenys el 80% de les hores d’obertura;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registre del 100% de les incidències sanitàries detectades i temps de resposta acordat;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reducció verificable de residus sanitaris i miccions a l’entorn immediat respecte de la línia base;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almenys el 50% de la superfície útil mantinguda com a verd, hort o sòl permeable, subjecte al projecte final;</w:t>
      </w:r>
    </w:p>
    <w:p>
      <w:pPr>
        <w:keepLines/>
        <w:numPr>
          <w:ilvl w:val="0"/>
          <w:numId w:val="10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publicació anual de comptes, impacte, manteniment i aprenentatges.</w:t>
      </w:r>
    </w:p>
    <w:p>
      <w:pPr>
        <w:pStyle w:val="Heading1"/>
        <w:pageBreakBefore/>
        <w:keepNext/>
      </w:pPr>
      <w:r>
        <w:rPr>
          <w:rFonts w:ascii="Calibri" w:hAnsi="Calibri"/>
          <w:b/>
          <w:color w:val="245A7A"/>
          <w:sz w:val="32"/>
        </w:rPr>
        <w:t>13. Decisió sol·licitada</w:t>
      </w:r>
    </w:p>
    <w:p>
      <w:r>
        <w:rPr>
          <w:rFonts w:ascii="Calibri" w:hAnsi="Calibri"/>
          <w:color w:val="1C2428"/>
          <w:sz w:val="21"/>
        </w:rPr>
        <w:t>Es demana a l’Ajuntament de Barcelona i al Districte de Ciutat Vella:</w:t>
      </w:r>
    </w:p>
    <w:p>
      <w:pPr>
        <w:keepLines/>
        <w:numPr>
          <w:ilvl w:val="0"/>
          <w:numId w:val="13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reconèixer Benet Corner com a projecte comunitari, climàtic i patrimonial d’interès públic;</w:t>
      </w:r>
    </w:p>
    <w:p>
      <w:pPr>
        <w:keepLines/>
        <w:numPr>
          <w:ilvl w:val="0"/>
          <w:numId w:val="13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obrir una taula tècnica de 90 dies sobre continuïtat, propietat, arqueologia i encaix urbanístic;</w:t>
      </w:r>
    </w:p>
    <w:p>
      <w:pPr>
        <w:keepLines/>
        <w:numPr>
          <w:ilvl w:val="0"/>
          <w:numId w:val="13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autoritzar un avantprojecte co-dissenyat amb joves arquitectes i professionals socials;</w:t>
      </w:r>
    </w:p>
    <w:p>
      <w:pPr>
        <w:keepLines/>
        <w:numPr>
          <w:ilvl w:val="0"/>
          <w:numId w:val="13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estudiar una inversió municipal de fins a 445.000 € i el cofinançament de components elegibles;</w:t>
      </w:r>
    </w:p>
    <w:p>
      <w:pPr>
        <w:keepLines/>
        <w:numPr>
          <w:ilvl w:val="0"/>
          <w:numId w:val="13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acordar un conveni plurianual d’activitat i manteniment amb objectius verificables;</w:t>
      </w:r>
    </w:p>
    <w:p>
      <w:pPr>
        <w:keepLines/>
        <w:numPr>
          <w:ilvl w:val="0"/>
          <w:numId w:val="13"/>
        </w:numPr>
        <w:spacing w:after="60" w:line="283" w:lineRule="auto"/>
        <w:jc w:val="left"/>
      </w:pPr>
      <w:r>
        <w:rPr>
          <w:rFonts w:ascii="Calibri" w:hAnsi="Calibri"/>
          <w:color w:val="1C2428"/>
          <w:sz w:val="21"/>
        </w:rPr>
        <w:t>integrar el CAS Lluís Companys, l’ASPB, neteja i serveis socials en un protocol de convivència i salut pública de l’entorn.</w:t>
      </w:r>
    </w:p>
    <w:p>
      <w:pPr>
        <w:pStyle w:val="Heading1"/>
        <w:keepNext/>
      </w:pPr>
      <w:r>
        <w:rPr>
          <w:rFonts w:ascii="Calibri" w:hAnsi="Calibri"/>
          <w:b/>
          <w:color w:val="245A7A"/>
          <w:sz w:val="32"/>
        </w:rPr>
        <w:t>Fonts principals</w:t>
      </w:r>
    </w:p>
    <w:p>
      <w:pPr>
        <w:keepLines/>
        <w:numPr>
          <w:ilvl w:val="0"/>
          <w:numId w:val="10"/>
        </w:numPr>
        <w:spacing w:after="20" w:line="252" w:lineRule="auto"/>
        <w:jc w:val="left"/>
      </w:pPr>
      <w:r>
        <w:rPr>
          <w:rFonts w:ascii="Calibri" w:hAnsi="Calibri"/>
          <w:color w:val="1C2428"/>
          <w:sz w:val="17"/>
        </w:rPr>
        <w:t>Ajuntament de Barcelona, Pla de millora urbana Rec Comtal 19B, expedient 26PL17180.</w:t>
      </w:r>
    </w:p>
    <w:p>
      <w:pPr>
        <w:keepLines/>
        <w:numPr>
          <w:ilvl w:val="0"/>
          <w:numId w:val="10"/>
        </w:numPr>
        <w:spacing w:after="20" w:line="252" w:lineRule="auto"/>
        <w:jc w:val="left"/>
      </w:pPr>
      <w:r>
        <w:rPr>
          <w:rFonts w:ascii="Calibri" w:hAnsi="Calibri"/>
          <w:color w:val="1C2428"/>
          <w:sz w:val="17"/>
        </w:rPr>
        <w:t>Ajuntament de Barcelona, Pla Director del Rec Comtal, Vol. I Memòria.</w:t>
      </w:r>
    </w:p>
    <w:p>
      <w:pPr>
        <w:keepLines/>
        <w:numPr>
          <w:ilvl w:val="0"/>
          <w:numId w:val="10"/>
        </w:numPr>
        <w:spacing w:after="20" w:line="252" w:lineRule="auto"/>
        <w:jc w:val="left"/>
      </w:pPr>
      <w:r>
        <w:rPr>
          <w:rFonts w:ascii="Calibri" w:hAnsi="Calibri"/>
          <w:color w:val="1C2428"/>
          <w:sz w:val="17"/>
        </w:rPr>
        <w:t xml:space="preserve">Servei d’Arqueologia de Barcelona, </w:t>
      </w:r>
      <w:r>
        <w:rPr>
          <w:rFonts w:ascii="Calibri" w:hAnsi="Calibri"/>
          <w:i/>
          <w:color w:val="1C2428"/>
          <w:sz w:val="17"/>
        </w:rPr>
        <w:t>Anuari d’arqueologia i patrimoni</w:t>
      </w:r>
      <w:r>
        <w:rPr>
          <w:rFonts w:ascii="Calibri" w:hAnsi="Calibri"/>
          <w:color w:val="1C2428"/>
          <w:sz w:val="17"/>
        </w:rPr>
        <w:t xml:space="preserve"> 2013–2015.</w:t>
      </w:r>
    </w:p>
    <w:p>
      <w:pPr>
        <w:keepLines/>
        <w:numPr>
          <w:ilvl w:val="0"/>
          <w:numId w:val="10"/>
        </w:numPr>
        <w:spacing w:after="20" w:line="252" w:lineRule="auto"/>
        <w:jc w:val="left"/>
      </w:pPr>
      <w:r>
        <w:rPr>
          <w:rFonts w:ascii="Calibri" w:hAnsi="Calibri"/>
          <w:color w:val="1C2428"/>
          <w:sz w:val="17"/>
        </w:rPr>
        <w:t>Ajuntament de Barcelona, convocatòria 2026 d’Ajuts per al foment de la protecció i millora del paisatge urbà.</w:t>
      </w:r>
    </w:p>
    <w:p>
      <w:pPr>
        <w:keepLines/>
        <w:numPr>
          <w:ilvl w:val="0"/>
          <w:numId w:val="10"/>
        </w:numPr>
        <w:spacing w:after="20" w:line="252" w:lineRule="auto"/>
        <w:jc w:val="left"/>
      </w:pPr>
      <w:r>
        <w:rPr>
          <w:rFonts w:ascii="Calibri" w:hAnsi="Calibri"/>
          <w:color w:val="1C2428"/>
          <w:sz w:val="17"/>
        </w:rPr>
        <w:t>Ajuntament de Barcelona, decret d’execució dels Pressupostos Participatius 2024–2027, 27 de març de 2026.</w:t>
      </w:r>
    </w:p>
    <w:p>
      <w:pPr>
        <w:keepLines/>
        <w:numPr>
          <w:ilvl w:val="0"/>
          <w:numId w:val="10"/>
        </w:numPr>
        <w:spacing w:after="20" w:line="252" w:lineRule="auto"/>
        <w:jc w:val="left"/>
      </w:pPr>
      <w:r>
        <w:rPr>
          <w:rFonts w:ascii="Calibri" w:hAnsi="Calibri"/>
          <w:color w:val="1C2428"/>
          <w:sz w:val="17"/>
        </w:rPr>
        <w:t>Ajuntament de Barcelona, convocatòria general de subvencions 2026, àmbit de cultura i projectes artístics i culturals de districte.</w:t>
      </w:r>
    </w:p>
    <w:p>
      <w:pPr>
        <w:keepLines/>
        <w:numPr>
          <w:ilvl w:val="0"/>
          <w:numId w:val="10"/>
        </w:numPr>
        <w:spacing w:after="20" w:line="252" w:lineRule="auto"/>
        <w:jc w:val="left"/>
      </w:pPr>
      <w:r>
        <w:rPr>
          <w:rFonts w:ascii="Calibri" w:hAnsi="Calibri"/>
          <w:color w:val="1C2428"/>
          <w:sz w:val="17"/>
        </w:rPr>
        <w:t xml:space="preserve">Ajuntament de Barcelona, </w:t>
      </w:r>
      <w:r>
        <w:rPr>
          <w:rFonts w:ascii="Calibri" w:hAnsi="Calibri"/>
          <w:i/>
          <w:color w:val="1C2428"/>
          <w:sz w:val="17"/>
        </w:rPr>
        <w:t>Ordenança del medi ambient urbà</w:t>
      </w:r>
      <w:r>
        <w:rPr>
          <w:rFonts w:ascii="Calibri" w:hAnsi="Calibri"/>
          <w:color w:val="1C2428"/>
          <w:sz w:val="17"/>
        </w:rPr>
        <w:t>, títol III sobre contaminació acústica.</w:t>
      </w:r>
    </w:p>
    <w:p>
      <w:pPr>
        <w:keepLines/>
        <w:numPr>
          <w:ilvl w:val="0"/>
          <w:numId w:val="10"/>
        </w:numPr>
        <w:spacing w:after="20" w:line="252" w:lineRule="auto"/>
        <w:jc w:val="left"/>
      </w:pPr>
      <w:r>
        <w:rPr>
          <w:rFonts w:ascii="Calibri" w:hAnsi="Calibri"/>
          <w:color w:val="1C2428"/>
          <w:sz w:val="17"/>
        </w:rPr>
        <w:t xml:space="preserve">Agència de Residus de Catalunya, </w:t>
      </w:r>
      <w:hyperlink r:id="rId12">
        <w:r>
          <w:rPr>
            <w:color w:val="245A7A"/>
            <w:u w:val="single"/>
            <w:sz w:val="17"/>
            <w:rFonts w:ascii="Calibri" w:hAnsi="Calibri"/>
          </w:rPr>
          <w:t>Reutilització i preparació per a la reutilització</w:t>
        </w:r>
      </w:hyperlink>
      <w:r>
        <w:rPr>
          <w:rFonts w:ascii="Calibri" w:hAnsi="Calibri"/>
          <w:color w:val="1C2428"/>
          <w:sz w:val="17"/>
        </w:rPr>
        <w:t>.</w:t>
      </w:r>
    </w:p>
    <w:p>
      <w:pPr>
        <w:keepLines/>
        <w:numPr>
          <w:ilvl w:val="0"/>
          <w:numId w:val="10"/>
        </w:numPr>
        <w:spacing w:after="20" w:line="252" w:lineRule="auto"/>
        <w:jc w:val="left"/>
      </w:pPr>
      <w:r>
        <w:rPr>
          <w:rFonts w:ascii="Calibri" w:hAnsi="Calibri"/>
          <w:color w:val="1C2428"/>
          <w:sz w:val="17"/>
        </w:rPr>
        <w:t xml:space="preserve">Agència de Salut Pública de Barcelona, </w:t>
      </w:r>
      <w:hyperlink r:id="rId13">
        <w:r>
          <w:rPr>
            <w:color w:val="245A7A"/>
            <w:u w:val="single"/>
            <w:sz w:val="17"/>
            <w:rFonts w:ascii="Calibri" w:hAnsi="Calibri"/>
          </w:rPr>
          <w:t>Centres d’Atenció i Seguiment</w:t>
        </w:r>
      </w:hyperlink>
      <w:r>
        <w:rPr>
          <w:rFonts w:ascii="Calibri" w:hAnsi="Calibri"/>
          <w:color w:val="1C2428"/>
          <w:sz w:val="17"/>
        </w:rPr>
        <w:t>.</w:t>
      </w:r>
    </w:p>
    <w:p>
      <w:pPr>
        <w:keepLines/>
        <w:numPr>
          <w:ilvl w:val="0"/>
          <w:numId w:val="10"/>
        </w:numPr>
        <w:spacing w:after="20" w:line="252" w:lineRule="auto"/>
        <w:jc w:val="left"/>
      </w:pPr>
      <w:r>
        <w:rPr>
          <w:rFonts w:ascii="Calibri" w:hAnsi="Calibri"/>
          <w:color w:val="1C2428"/>
          <w:sz w:val="17"/>
        </w:rPr>
        <w:t xml:space="preserve">Agència de Salut Pública de Barcelona, </w:t>
      </w:r>
      <w:hyperlink r:id="rId14">
        <w:r>
          <w:rPr>
            <w:color w:val="245A7A"/>
            <w:u w:val="single"/>
            <w:sz w:val="17"/>
            <w:rFonts w:ascii="Calibri" w:hAnsi="Calibri"/>
          </w:rPr>
          <w:t>Pla d’Acció sobre Drogues i Addiccions 2025–2028</w:t>
        </w:r>
      </w:hyperlink>
      <w:r>
        <w:rPr>
          <w:rFonts w:ascii="Calibri" w:hAnsi="Calibri"/>
          <w:color w:val="1C2428"/>
          <w:sz w:val="17"/>
        </w:rPr>
        <w:t>.</w:t>
      </w:r>
    </w:p>
    <w:p>
      <w:pPr>
        <w:keepLines/>
        <w:numPr>
          <w:ilvl w:val="0"/>
          <w:numId w:val="10"/>
        </w:numPr>
        <w:spacing w:after="20" w:line="252" w:lineRule="auto"/>
        <w:jc w:val="left"/>
      </w:pPr>
      <w:r>
        <w:rPr>
          <w:rFonts w:ascii="Calibri" w:hAnsi="Calibri"/>
          <w:color w:val="1C2428"/>
          <w:sz w:val="17"/>
        </w:rPr>
        <w:t xml:space="preserve">Agència de Salut Pública de Barcelona, </w:t>
      </w:r>
      <w:r>
        <w:rPr>
          <w:rFonts w:ascii="Calibri" w:hAnsi="Calibri"/>
          <w:i/>
          <w:color w:val="1C2428"/>
          <w:sz w:val="17"/>
        </w:rPr>
        <w:t>La salut a Barcelona 2022</w:t>
      </w:r>
      <w:r>
        <w:rPr>
          <w:rFonts w:ascii="Calibri" w:hAnsi="Calibri"/>
          <w:color w:val="1C2428"/>
          <w:sz w:val="17"/>
        </w:rPr>
        <w:t>, indicador de xeringues recollides a la via pública.</w:t>
      </w:r>
    </w:p>
    <w:p>
      <w:pPr>
        <w:keepLines/>
        <w:numPr>
          <w:ilvl w:val="0"/>
          <w:numId w:val="10"/>
        </w:numPr>
        <w:spacing w:after="20" w:line="252" w:lineRule="auto"/>
        <w:jc w:val="left"/>
      </w:pPr>
      <w:r>
        <w:rPr>
          <w:rFonts w:ascii="Calibri" w:hAnsi="Calibri"/>
          <w:color w:val="1C2428"/>
          <w:sz w:val="17"/>
        </w:rPr>
        <w:t xml:space="preserve">EIT Community New European Bauhaus, </w:t>
      </w:r>
      <w:hyperlink r:id="rId15">
        <w:r>
          <w:rPr>
            <w:color w:val="245A7A"/>
            <w:u w:val="single"/>
            <w:sz w:val="17"/>
            <w:rFonts w:ascii="Calibri" w:hAnsi="Calibri"/>
          </w:rPr>
          <w:t>Connect NEB i Co-create NEB Open Call 2027</w:t>
        </w:r>
      </w:hyperlink>
      <w:r>
        <w:rPr>
          <w:rFonts w:ascii="Calibri" w:hAnsi="Calibri"/>
          <w:color w:val="1C2428"/>
          <w:sz w:val="17"/>
        </w:rPr>
        <w:t>.</w:t>
      </w:r>
    </w:p>
    <w:p>
      <w:pPr>
        <w:keepLines/>
        <w:numPr>
          <w:ilvl w:val="0"/>
          <w:numId w:val="10"/>
        </w:numPr>
        <w:spacing w:after="20" w:line="252" w:lineRule="auto"/>
        <w:jc w:val="left"/>
      </w:pPr>
      <w:r>
        <w:rPr>
          <w:rFonts w:ascii="Calibri" w:hAnsi="Calibri"/>
          <w:color w:val="1C2428"/>
          <w:sz w:val="17"/>
        </w:rPr>
        <w:t xml:space="preserve">Ministeri de Cultura, </w:t>
      </w:r>
      <w:hyperlink r:id="rId16">
        <w:r>
          <w:rPr>
            <w:color w:val="245A7A"/>
            <w:u w:val="single"/>
            <w:sz w:val="17"/>
            <w:rFonts w:ascii="Calibri" w:hAnsi="Calibri"/>
          </w:rPr>
          <w:t>projectes culturals amb especial impacte social 2026</w:t>
        </w:r>
      </w:hyperlink>
      <w:r>
        <w:rPr>
          <w:rFonts w:ascii="Calibri" w:hAnsi="Calibri"/>
          <w:color w:val="1C2428"/>
          <w:sz w:val="17"/>
        </w:rPr>
        <w:t>.</w:t>
      </w:r>
    </w:p>
    <w:p>
      <w:pPr>
        <w:keepLines/>
        <w:numPr>
          <w:ilvl w:val="0"/>
          <w:numId w:val="10"/>
        </w:numPr>
        <w:spacing w:after="20" w:line="252" w:lineRule="auto"/>
        <w:jc w:val="left"/>
      </w:pPr>
      <w:r>
        <w:rPr>
          <w:rFonts w:ascii="Calibri" w:hAnsi="Calibri"/>
          <w:color w:val="1C2428"/>
          <w:sz w:val="17"/>
        </w:rPr>
        <w:t xml:space="preserve">Comissió Europea, </w:t>
      </w:r>
      <w:hyperlink r:id="rId17">
        <w:r>
          <w:rPr>
            <w:color w:val="245A7A"/>
            <w:u w:val="single"/>
            <w:sz w:val="17"/>
            <w:rFonts w:ascii="Calibri" w:hAnsi="Calibri"/>
          </w:rPr>
          <w:t>convocatòries LIFE 2026</w:t>
        </w:r>
      </w:hyperlink>
      <w:r>
        <w:rPr>
          <w:rFonts w:ascii="Calibri" w:hAnsi="Calibri"/>
          <w:color w:val="1C2428"/>
          <w:sz w:val="17"/>
        </w:rPr>
        <w:t xml:space="preserve"> i </w:t>
      </w:r>
      <w:hyperlink r:id="rId18">
        <w:r>
          <w:rPr>
            <w:color w:val="245A7A"/>
            <w:u w:val="single"/>
            <w:sz w:val="17"/>
            <w:rFonts w:ascii="Calibri" w:hAnsi="Calibri"/>
          </w:rPr>
          <w:t>NEB Facility 2026–2027</w:t>
        </w:r>
      </w:hyperlink>
      <w:r>
        <w:rPr>
          <w:rFonts w:ascii="Calibri" w:hAnsi="Calibri"/>
          <w:color w:val="1C2428"/>
          <w:sz w:val="17"/>
        </w:rPr>
        <w:t>.</w:t>
      </w:r>
    </w:p>
    <w:p>
      <w:pPr>
        <w:spacing w:after="0" w:line="252" w:lineRule="auto"/>
        <w:jc w:val="left"/>
      </w:pPr>
      <w:r>
        <w:rPr>
          <w:rFonts w:ascii="Calibri" w:hAnsi="Calibri"/>
          <w:b/>
          <w:color w:val="1C2428"/>
          <w:sz w:val="18"/>
        </w:rPr>
        <w:t>Nota de prudència:</w:t>
      </w:r>
      <w:r>
        <w:rPr>
          <w:rFonts w:ascii="Calibri" w:hAnsi="Calibri"/>
          <w:color w:val="1C2428"/>
          <w:sz w:val="18"/>
        </w:rPr>
        <w:t xml:space="preserve"> les dades de residus sanitaris i miccions específiques de l’entorn Benet s’han de construir amb una línia base verificable. Aquesta proposta no atribueix conductes a persones o serveis concrets sense evidència.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23" w:left="1296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B73"/>
        <w:sz w:val="18"/>
      </w:rPr>
      <w:t xml:space="preserve">Pàgina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F6B73"/>
        <w:sz w:val="17"/>
      </w:rPr>
      <w:t>BENET CORNER  |  PROPOSTA DE PROJECTE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60" w:line="29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60" w:line="29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60" w:line="29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60" w:line="290" w:lineRule="auto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40" w:line="293" w:lineRule="auto"/>
      <w:jc w:val="both"/>
    </w:pPr>
    <w:rPr>
      <w:rFonts w:ascii="Calibri" w:hAnsi="Calibri"/>
      <w:color w:val="1C24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45A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45A7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4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3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3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hyperlink" Target="https://residus.gencat.cat/ca/ambits_dactuacio/prevencio/reutilitzacio/index.html" TargetMode="External"/><Relationship Id="rId13" Type="http://schemas.openxmlformats.org/officeDocument/2006/relationships/hyperlink" Target="https://www.aspb.cat/arees/drogodependencies/centres-datencio-seguiment-barcelona" TargetMode="External"/><Relationship Id="rId14" Type="http://schemas.openxmlformats.org/officeDocument/2006/relationships/hyperlink" Target="https://www.aspb.cat/wp-content/uploads/2025/08/Pla_Accio_Drogues_Addiccions_Barcelona_2025-2028_250801-1.pdf" TargetMode="External"/><Relationship Id="rId15" Type="http://schemas.openxmlformats.org/officeDocument/2006/relationships/hyperlink" Target="https://neb.eitcommunity.eu/connect-neb-co-create-neb-open-call-2027/" TargetMode="External"/><Relationship Id="rId16" Type="http://schemas.openxmlformats.org/officeDocument/2006/relationships/hyperlink" Target="https://www.cultura.gob.es/cultura/derechos-culturales/ayudas-dgddcc/ayudas-impacto-social.html" TargetMode="External"/><Relationship Id="rId17" Type="http://schemas.openxmlformats.org/officeDocument/2006/relationships/hyperlink" Target="https://cinea.ec.europa.eu/life-calls-proposals-2026_en" TargetMode="External"/><Relationship Id="rId18" Type="http://schemas.openxmlformats.org/officeDocument/2006/relationships/hyperlink" Target="https://ec.europa.eu/info/funding-tenders/opportunities/docs/2021-2027/horizon/wp-call/2026-2027/wp-13-new-european-bauhaus-facility_horizon-2026-2027_e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Benet Corner: jardí comunitari, aigua i cures</dc:title>
  <dc:subject>Proposta de projecte social, climàtic i patrimonial</dc:subject>
  <dc:creator>Associació Comunitària Rec Comtal – Benet Corner</dc:creator>
  <cp:keywords>Benet Corner, Rec Comtal, Ciutat Vella, jardí comunitari, projecte social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