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МТС Линк</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разрабатываемого программного продукта: «МТС Линк - Корпоративная платформа видеосвязи и совместной работы». Условное обозначение системы: MTS-LINK-2024-v1.0. Система предназначена для организации видеоконференций, обмена сообщениями и совместной работы с документами в корпоративной среде.</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ПАО «Мобильные ТелеСистемы» (МТС), подразделение цифровых решений и корпоративных сервисов. Головной исполнитель проекта - Департамент разработки корпоративных решений МТС. Соисполнители: ООО «МТС ИТ» (техническая поддержка инфраструктуры), ООО «МТС Диджитал» (интеграционные решения).</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разработки системы: начало проекта - 15 января 2024 года, завершение разработки основной версии - 30 сентября 2024 года, ввод в промышленную эксплуатацию - 15 ноября 2024 года. Общая длительность проекта составляет 10 месяцев с учетом этапов тестирования и опытной эксплуатации.</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Основной целью создания системы МТС Линк является повышение эффективности корпоративных коммуникаций на 35% за счет внедрения единой платформы видеосвязи. Планируется обеспечить поддержку одновременной работы не менее 50 000 пользователей с возможностью проведения до 5 000 параллельных видеоконференций. Система должна обеспечить снижение затрат на корпоративную связь на 25% по сравнению с использованием внешних сервисов.</w:t>
      </w:r>
    </w:p>
    <w:p>
      <w:pPr>
        <w:spacing w:after="120"/>
        <w:jc w:val="both"/>
      </w:pPr>
      <w:r>
        <w:rPr>
          <w:rFonts w:ascii="Times New Roman" w:cs="Times New Roman" w:eastAsia="Times New Roman" w:hAnsi="Times New Roman"/>
          <w:i w:val="false"/>
          <w:iCs w:val="false"/>
          <w:color w:val="000000"/>
          <w:sz w:val="24"/>
          <w:szCs w:val="24"/>
        </w:rPr>
        <w:t xml:space="preserve">Назначением системы является автоматизация процессов корпоративного взаимодействия, включая организацию видеоконференций, обмен мгновенными сообщениями, совместную работу с документами и управление корпоративными мероприятиями. Система предназначена для использования сотрудниками МТС и корпоративными клиентами компании.</w:t>
      </w:r>
    </w:p>
    <w:p>
      <w:pPr>
        <w:spacing w:after="120"/>
        <w:jc w:val="both"/>
      </w:pPr>
      <w:r>
        <w:rPr>
          <w:rFonts w:ascii="Times New Roman" w:cs="Times New Roman" w:eastAsia="Times New Roman" w:hAnsi="Times New Roman"/>
          <w:i w:val="false"/>
          <w:iCs w:val="false"/>
          <w:color w:val="000000"/>
          <w:sz w:val="24"/>
          <w:szCs w:val="24"/>
        </w:rPr>
        <w:t xml:space="preserve">Дополнительной целью является создание масштабируемого решения, способного обслуживать внешних корпоративных клиентов МТС, что позволит увеличить выручку от B2B сегмента на 15% в течение первого года эксплуатации.</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является корпоративная коммуникационная среда ПАО «МТС», включающая более 60 000 сотрудников, распределенных по 2 500 офисам в 80 регионах Российской Федерации. Система должна обеспечивать интеграцию с существующей IT-инфраструктурой компании, включая корпоративную Active Directory, системы документооборота и CRM-платформы.</w:t>
      </w:r>
    </w:p>
    <w:p>
      <w:pPr>
        <w:spacing w:after="120"/>
        <w:jc w:val="both"/>
      </w:pPr>
      <w:r>
        <w:rPr>
          <w:rFonts w:ascii="Times New Roman" w:cs="Times New Roman" w:eastAsia="Times New Roman" w:hAnsi="Times New Roman"/>
          <w:i w:val="false"/>
          <w:iCs w:val="false"/>
          <w:color w:val="000000"/>
          <w:sz w:val="24"/>
          <w:szCs w:val="24"/>
        </w:rPr>
        <w:t xml:space="preserve">Текущая коммуникационная инфраструктура включает разрозненные решения видеосвязи, системы IP-телефонии и мессенджеры, что создает фрагментацию и снижает эффективность взаимодействия. Среднее время на организацию видеоконференции составляет 8-12 минут, что требуется сократить до 2-3 минут.</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системы предусматривают круглосуточную работу с доступностью не менее 99.9%. Система должна функционировать в географически распределенной среде с различными часовыми поясами от UTC+2 до UTC+12. Пиковые нагрузки ожидаются в рабочие дни с 9:00 до 18:00 по московскому времени с коэффициентом неравномерности 2.5.</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Система МТС Линк должна иметь модульную архитектуру, состоящую из следующих основных компонентов: модуль управления видеоконференциями, модуль мгновенных сообщений, модуль совместной работы с документами, модуль управления пользователями и правами доступа, модуль аналитики и отчетности. Архитектура должна поддерживать микросервисный подход с возможностью независимого развертывания и масштабирования каждого компонента.</w:t>
      </w:r>
    </w:p>
    <w:p>
      <w:pPr>
        <w:spacing w:after="120"/>
        <w:jc w:val="both"/>
      </w:pPr>
      <w:r>
        <w:rPr>
          <w:rFonts w:ascii="Times New Roman" w:cs="Times New Roman" w:eastAsia="Times New Roman" w:hAnsi="Times New Roman"/>
          <w:i w:val="false"/>
          <w:iCs w:val="false"/>
          <w:color w:val="000000"/>
          <w:sz w:val="24"/>
          <w:szCs w:val="24"/>
        </w:rPr>
        <w:t xml:space="preserve">Подсистема серверной части включает: сервер медиа-маршрутизации, сервер управления сеансами, сервер баз данных, сервер файлового хранилища, сервер аутентификации и авторизации. Клиентская часть должна состоять из веб-приложения, мобильных приложений для iOS и Android, десктопного приложения для Windows и macOS.</w:t>
      </w:r>
    </w:p>
    <w:p>
      <w:pPr>
        <w:spacing w:after="120"/>
        <w:jc w:val="both"/>
      </w:pPr>
      <w:r>
        <w:rPr>
          <w:rFonts w:ascii="Times New Roman" w:cs="Times New Roman" w:eastAsia="Times New Roman" w:hAnsi="Times New Roman"/>
          <w:i w:val="false"/>
          <w:iCs w:val="false"/>
          <w:color w:val="000000"/>
          <w:sz w:val="24"/>
          <w:szCs w:val="24"/>
        </w:rPr>
        <w:t xml:space="preserve">Интеграционная подсистема должна обеспечивать взаимодействие с внешними системами через REST API, поддерживать протоколы LDAP для интеграции с корпоративными каталогами, SMTP для уведомлений, WebRTC для видеосвязи. Система мониторинга должна включать компоненты сбора метрик, анализа производительности и формирования отчетов о качестве связи.</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организации видеоконференций должна обеспечивать создание конференции на до 500 участников с поддержкой HD-качества видео (1280x720), демонстрации экрана и записи сеансов. Результат: проведение видеоконференции с автоматическим сохранением записи в корпоративном хранилище.</w:t>
      </w:r>
    </w:p>
    <w:p>
      <w:pPr>
        <w:spacing w:after="120"/>
        <w:jc w:val="both"/>
      </w:pPr>
      <w:r>
        <w:rPr>
          <w:rFonts w:ascii="Times New Roman" w:cs="Times New Roman" w:eastAsia="Times New Roman" w:hAnsi="Times New Roman"/>
          <w:i w:val="false"/>
          <w:iCs w:val="false"/>
          <w:color w:val="000000"/>
          <w:sz w:val="24"/>
          <w:szCs w:val="24"/>
        </w:rPr>
        <w:t xml:space="preserve">Функция обмена мгновенными сообщениями должна поддерживать отправку текстовых сообщений, файлов размером до 100 МБ, создание групповых чатов до 1000 участников с возможностью поиска по истории сообщений. Результат: доставка сообщения получателю в течение 1 секунды с подтверждением прочтения.</w:t>
      </w:r>
    </w:p>
    <w:p>
      <w:pPr>
        <w:spacing w:after="120"/>
        <w:jc w:val="both"/>
      </w:pPr>
      <w:r>
        <w:rPr>
          <w:rFonts w:ascii="Times New Roman" w:cs="Times New Roman" w:eastAsia="Times New Roman" w:hAnsi="Times New Roman"/>
          <w:i w:val="false"/>
          <w:iCs w:val="false"/>
          <w:color w:val="000000"/>
          <w:sz w:val="24"/>
          <w:szCs w:val="24"/>
        </w:rPr>
        <w:t xml:space="preserve">Функция совместной работы с документами должна обеспечивать одновременное редактирование файлов Microsoft Office и Google Workspace до 50 пользователями с автоматическим сохранением изменений каждые 10 секунд. Результат: синхронизированный документ со всеми внесенными изменениями и историей редактирования.</w:t>
      </w:r>
    </w:p>
    <w:p>
      <w:pPr>
        <w:spacing w:after="120"/>
        <w:jc w:val="both"/>
      </w:pPr>
      <w:r>
        <w:rPr>
          <w:rFonts w:ascii="Times New Roman" w:cs="Times New Roman" w:eastAsia="Times New Roman" w:hAnsi="Times New Roman"/>
          <w:i w:val="false"/>
          <w:iCs w:val="false"/>
          <w:color w:val="000000"/>
          <w:sz w:val="24"/>
          <w:szCs w:val="24"/>
        </w:rPr>
        <w:t xml:space="preserve">Функция управления календарем и планированием встреч должна интегрироваться с Microsoft Outlook и Google Calendar, автоматически определять свободное время участников и резервировать переговорные комнаты. Результат: запланированная встреча с автоматическими напоминаниями за 15 минут до начала.</w:t>
      </w:r>
    </w:p>
    <w:p>
      <w:pPr>
        <w:spacing w:after="120"/>
        <w:jc w:val="both"/>
      </w:pPr>
      <w:r>
        <w:rPr>
          <w:rFonts w:ascii="Times New Roman" w:cs="Times New Roman" w:eastAsia="Times New Roman" w:hAnsi="Times New Roman"/>
          <w:i w:val="false"/>
          <w:iCs w:val="false"/>
          <w:color w:val="000000"/>
          <w:sz w:val="24"/>
          <w:szCs w:val="24"/>
        </w:rPr>
        <w:t xml:space="preserve">Функция контроля качества связи должна в реальном времени анализировать параметры видео и аудиопотоков, автоматически адаптировать качество при ухудшении канала связи. Результат: поддержание стабильного качества связи при полосе пропускания от 128 кбит/с.</w:t>
      </w:r>
    </w:p>
    <w:p>
      <w:pPr>
        <w:spacing w:after="120"/>
        <w:jc w:val="both"/>
      </w:pPr>
      <w:r>
        <w:rPr>
          <w:rFonts w:ascii="Times New Roman" w:cs="Times New Roman" w:eastAsia="Times New Roman" w:hAnsi="Times New Roman"/>
          <w:i w:val="false"/>
          <w:iCs w:val="false"/>
          <w:color w:val="000000"/>
          <w:sz w:val="24"/>
          <w:szCs w:val="24"/>
        </w:rPr>
        <w:t xml:space="preserve">Функция управления пользователями должна обеспечивать создание учетных записей, назначение ролей и прав доступа, интеграцию с корпоративной Active Directory. Результат: автоматическая синхронизация пользователей с корпоративным каталогом каждые 4 часа.</w:t>
      </w:r>
    </w:p>
    <w:p>
      <w:pPr>
        <w:spacing w:after="120"/>
        <w:jc w:val="both"/>
      </w:pPr>
      <w:r>
        <w:rPr>
          <w:rFonts w:ascii="Times New Roman" w:cs="Times New Roman" w:eastAsia="Times New Roman" w:hAnsi="Times New Roman"/>
          <w:i w:val="false"/>
          <w:iCs w:val="false"/>
          <w:color w:val="000000"/>
          <w:sz w:val="24"/>
          <w:szCs w:val="24"/>
        </w:rPr>
        <w:t xml:space="preserve">Функция аналитики и отчетности должна формировать отчеты об использовании системы, качестве связи, активности пользователей с возможностью экспорта в форматы Excel и PDF. Результат: ежемесячный отчет о KPI системы с детализацией по подразделениям.</w:t>
      </w:r>
    </w:p>
    <w:p>
      <w:pPr>
        <w:spacing w:after="120"/>
        <w:jc w:val="both"/>
      </w:pPr>
      <w:r>
        <w:rPr>
          <w:rFonts w:ascii="Times New Roman" w:cs="Times New Roman" w:eastAsia="Times New Roman" w:hAnsi="Times New Roman"/>
          <w:i w:val="false"/>
          <w:iCs w:val="false"/>
          <w:color w:val="000000"/>
          <w:sz w:val="24"/>
          <w:szCs w:val="24"/>
        </w:rPr>
        <w:t xml:space="preserve">Функция мобильного доступа должна обеспечивать полную функциональность системы на мобильных устройствах с адаптивным интерфейсом и push-уведомлениями. Результат: идентичный пользовательский опыт на всех типах устройств.</w:t>
      </w:r>
    </w:p>
    <w:p>
      <w:pPr>
        <w:spacing w:after="120"/>
        <w:jc w:val="both"/>
      </w:pPr>
      <w:r>
        <w:rPr>
          <w:rFonts w:ascii="Times New Roman" w:cs="Times New Roman" w:eastAsia="Times New Roman" w:hAnsi="Times New Roman"/>
          <w:i w:val="false"/>
          <w:iCs w:val="false"/>
          <w:color w:val="000000"/>
          <w:sz w:val="24"/>
          <w:szCs w:val="24"/>
        </w:rPr>
        <w:t xml:space="preserve">Функция записи и архивирования должна автоматически сохранять записи конференций в корпоративном хранилище с возможностью поиска по содержимому и метаданным. Результат: автоматически индексированная запись с возможностью быстрого поиска нужных моментов.</w:t>
      </w:r>
    </w:p>
    <w:p>
      <w:pPr>
        <w:spacing w:after="120"/>
        <w:jc w:val="both"/>
      </w:pPr>
      <w:r>
        <w:rPr>
          <w:rFonts w:ascii="Times New Roman" w:cs="Times New Roman" w:eastAsia="Times New Roman" w:hAnsi="Times New Roman"/>
          <w:i w:val="false"/>
          <w:iCs w:val="false"/>
          <w:color w:val="000000"/>
          <w:sz w:val="24"/>
          <w:szCs w:val="24"/>
        </w:rPr>
        <w:t xml:space="preserve">Функция безопасности должна обеспечивать сквозное шифрование всех коммуникаций по алгоритму AES-256, аутентификацию участников и аудит всех действий в системе. Результат: защищенные коммуникации с полным журналом аудита для соответствия требованиям информационной безопасности.</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Серверная часть системы должна функционировать на операционных системах Linux Ubuntu 20.04 LTS или выше, CentOS 8.0 или выше, Red Hat Enterprise Linux 8.0 или выше. Для контейнеризации обязательно использование Docker версии 20.10 или выше и оркестратора Kubernetes версии 1.21 или выше. База данных должна поддерживать PostgreSQL 13.0 или выше для основных данных и Redis 6.0 или выше для кэширования и сессий.</w:t>
      </w:r>
    </w:p>
    <w:p>
      <w:pPr>
        <w:spacing w:after="120"/>
        <w:jc w:val="both"/>
      </w:pPr>
      <w:r>
        <w:rPr>
          <w:rFonts w:ascii="Times New Roman" w:cs="Times New Roman" w:eastAsia="Times New Roman" w:hAnsi="Times New Roman"/>
          <w:i w:val="false"/>
          <w:iCs w:val="false"/>
          <w:color w:val="000000"/>
          <w:sz w:val="24"/>
          <w:szCs w:val="24"/>
        </w:rPr>
        <w:t xml:space="preserve">Веб-приложение должно поддерживать браузеры Google Chrome 90+, Mozilla Firefox 88+, Safari 14+, Microsoft Edge 90+. Для мобильных приложений требуется поддержка iOS 13.0+ и Android 8.0+ (API level 26+). Десктопные приложения должны работать на Windows 10 версии 1909 или выше и macOS 10.15 или выше.</w:t>
      </w:r>
    </w:p>
    <w:p>
      <w:pPr>
        <w:spacing w:after="120"/>
        <w:jc w:val="both"/>
      </w:pPr>
      <w:r>
        <w:rPr>
          <w:rFonts w:ascii="Times New Roman" w:cs="Times New Roman" w:eastAsia="Times New Roman" w:hAnsi="Times New Roman"/>
          <w:i w:val="false"/>
          <w:iCs w:val="false"/>
          <w:color w:val="000000"/>
          <w:sz w:val="24"/>
          <w:szCs w:val="24"/>
        </w:rPr>
        <w:t xml:space="preserve">Для разработки используются следующие технологии: Node.js 16.0+ для серверной логики, React 17+ для веб-интерфейса, React Native 0.66+ для мобильных приложений, Electron 15+ для десктопных клиентов. Для обеспечения видеосвязи используется WebRTC с поддержкой медиа-серверов Kurento 6.16+ или Janus Gateway 0.11+. Система должна поддерживать развертывание в облачных средах AWS, Microsoft Azure, Google Cloud Platform.</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к серверному оборудованию: процессор Intel Xeon Gold 6248 или AMD EPYC 7452 (32 ядра, 2.5 ГГц), оперативная память 128 ГБ DDR4-2933, дисковая система SSD NVMe объемом 2 ТБ для основного хранилища и HDD 10 ТБ для архивных данных. Сетевая карта должна поддерживать скорость 10 Гбит/с с резервированием каналов связи.</w:t>
      </w:r>
    </w:p>
    <w:p>
      <w:pPr>
        <w:spacing w:after="120"/>
        <w:jc w:val="both"/>
      </w:pPr>
      <w:r>
        <w:rPr>
          <w:rFonts w:ascii="Times New Roman" w:cs="Times New Roman" w:eastAsia="Times New Roman" w:hAnsi="Times New Roman"/>
          <w:i w:val="false"/>
          <w:iCs w:val="false"/>
          <w:color w:val="000000"/>
          <w:sz w:val="24"/>
          <w:szCs w:val="24"/>
        </w:rPr>
        <w:t xml:space="preserve">Для медиа-серверов требования повышены: процессор Intel Xeon Platinum 8280 или эквивалентный AMD (56 ядер), 256 ГБ оперативной памяти, специализированные ускорители для обработки видео Intel QuickSync или NVIDIA T4. Дисковая подсистема должна обеспечивать скорость чтения/записи не менее 3000 IOPS для случайных операций.</w:t>
      </w:r>
    </w:p>
    <w:p>
      <w:pPr>
        <w:spacing w:after="120"/>
        <w:jc w:val="both"/>
      </w:pPr>
      <w:r>
        <w:rPr>
          <w:rFonts w:ascii="Times New Roman" w:cs="Times New Roman" w:eastAsia="Times New Roman" w:hAnsi="Times New Roman"/>
          <w:i w:val="false"/>
          <w:iCs w:val="false"/>
          <w:color w:val="000000"/>
          <w:sz w:val="24"/>
          <w:szCs w:val="24"/>
        </w:rPr>
        <w:t xml:space="preserve">Требования к клиентским рабочим местам: процессор Intel Core i5-8250U или AMD Ryzen 5 3500U, оперативная память 8 ГБ, видеокарта с поддержкой аппаратного декодирования H.264/H.265, веб-камера разрешением 1280x720, микрофон и динамики или гарнитура. Монитор должен иметь разрешение не менее 1920x1080 пикселей. Для мобильных устройств: процессор ARM с частотой от 2.0 ГГц, 4 ГБ оперативной памяти, камера разрешением 8 Мп.</w:t>
      </w:r>
    </w:p>
    <w:p>
      <w:pPr>
        <w:pStyle w:val="Heading2"/>
      </w:pPr>
      <w:r>
        <w:rPr>
          <w:b/>
          <w:bCs/>
        </w:rPr>
        <w:t xml:space="preserve">4.5. Требования к надёжности</w:t>
      </w:r>
    </w:p>
    <w:p>
      <w:pPr>
        <w:spacing w:after="120"/>
        <w:jc w:val="both"/>
      </w:pPr>
      <w:r>
        <w:rPr>
          <w:rFonts w:ascii="Times New Roman" w:cs="Times New Roman" w:eastAsia="Times New Roman" w:hAnsi="Times New Roman"/>
          <w:i w:val="false"/>
          <w:iCs w:val="false"/>
          <w:color w:val="000000"/>
          <w:sz w:val="24"/>
          <w:szCs w:val="24"/>
        </w:rPr>
        <w:t xml:space="preserve">Система МТС Линк должна обеспечивать коэффициент готовности не менее 99.9%, что соответствует допустимому времени простоя не более 8.76 часов в год. Среднее время восстановления (MTTR) после сбоя не должно превышать 30 минут для критических компонентов и 2 часов для некритических сервисов. Система должна автоматически переключаться на резервные узлы при отказе основного оборудования без прерывания активных сеансов связи.</w:t>
      </w:r>
    </w:p>
    <w:p>
      <w:pPr>
        <w:spacing w:after="120"/>
        <w:jc w:val="both"/>
      </w:pPr>
      <w:r>
        <w:rPr>
          <w:rFonts w:ascii="Times New Roman" w:cs="Times New Roman" w:eastAsia="Times New Roman" w:hAnsi="Times New Roman"/>
          <w:i w:val="false"/>
          <w:iCs w:val="false"/>
          <w:color w:val="000000"/>
          <w:sz w:val="24"/>
          <w:szCs w:val="24"/>
        </w:rPr>
        <w:t xml:space="preserve">Обязательно резервирование всех критически важных компонентов по схеме «активный-активный» для медиа-серверов и «активный-пассивный» для серверов баз данных. Система должна поддерживать географически распределенное резервирование с размещением резервного центра обработки данных на расстоянии не менее 50 км от основного.</w:t>
      </w:r>
    </w:p>
    <w:p>
      <w:pPr>
        <w:spacing w:after="120"/>
        <w:jc w:val="both"/>
      </w:pPr>
      <w:r>
        <w:rPr>
          <w:rFonts w:ascii="Times New Roman" w:cs="Times New Roman" w:eastAsia="Times New Roman" w:hAnsi="Times New Roman"/>
          <w:i w:val="false"/>
          <w:iCs w:val="false"/>
          <w:color w:val="000000"/>
          <w:sz w:val="24"/>
          <w:szCs w:val="24"/>
        </w:rPr>
        <w:t xml:space="preserve">Для обеспечения отказоустойчивости предусматривается автоматическое создание резервных копий данных каждые 4 часа с хранением в течение 30 дней для оперативных копий и 1 года для архивных. Система мониторинга должна отслеживать более 150 показателей работоспособности с автоматической отправкой уведомлений администраторам при превышении пороговых значений. Время реакции системы мониторинга на критические события не должно превышать 30 секунд.</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сквозное шифрование всех коммуникаций с использованием протокола TLS 1.3 для веб-трафика и DTLS-SRTP для медиа-потоков. Шифрование данных в покое осуществляется по алгоритму AES-256, ключи шифрования должны ротироваться каждые 90 дней. Аутентификация пользователей реализуется через интеграцию с корпоративной Active Directory с поддержкой двухфакторной аутентификации через SMS или мобильное приложение.</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соответствовать требованиям федерального закона «О персональных данных» (152-ФЗ) и стандарту информационной безопасности ISO 27001. Обязательно ведение полного аудита действий пользователей с сохранением логов в течение 3 лет. Доступ к административным функциям должен осуществляться только через защищенные каналы с использованием VPN или выделенных административных сетей.</w:t>
      </w:r>
    </w:p>
    <w:p>
      <w:pPr>
        <w:spacing w:after="120"/>
        <w:jc w:val="both"/>
      </w:pPr>
      <w:r>
        <w:rPr>
          <w:rFonts w:ascii="Times New Roman" w:cs="Times New Roman" w:eastAsia="Times New Roman" w:hAnsi="Times New Roman"/>
          <w:i w:val="false"/>
          <w:iCs w:val="false"/>
          <w:color w:val="000000"/>
          <w:sz w:val="24"/>
          <w:szCs w:val="24"/>
        </w:rPr>
        <w:t xml:space="preserve">Для защиты от DDoS-атак система должна включать механизмы ограничения скорости запросов (rate limiting) до 1000 запросов в минуту на пользователя и автоматическую блокировку подозрительных IP-адресов. Все компоненты системы должны регулярно обновляться с установкой критических обновлений безопасности в течение 72 часов после их выпуска. Система должна проходить ежеквартальное тестирование на проникновение силами сертифицированных специалистов по информационной безопасности.</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системы должен соответствовать принципам Material Design для мобильных приложений и современным веб-стандартам для браузерных версий. Время отклика интерфейса на действия пользователя не должно превышать 200 миллисекунд для локальных операций и 2 секунд для операций, требующих обращения к серверу. Интерфейс должен поддерживать масштабирование от 80% до 200% без потери функциональности.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интуитивно понятную навигацию с возможностью выполнения основных операций (создание конференции, отправка сообщения, демонстрация экрана) не более чем за 3 клика мыши. Обязательна поддержка горячих клавиш для ускорения работы опытных пользователей: Ctrl+M для включения/отключения микрофона, Ctrl+E для включения/отключения камеры, Ctrl+D для демонстрации экрана.</w:t>
      </w:r>
    </w:p>
    <w:p>
      <w:pPr>
        <w:spacing w:after="120"/>
        <w:jc w:val="both"/>
      </w:pPr>
      <w:r>
        <w:rPr>
          <w:rFonts w:ascii="Times New Roman" w:cs="Times New Roman" w:eastAsia="Times New Roman" w:hAnsi="Times New Roman"/>
          <w:i w:val="false"/>
          <w:iCs w:val="false"/>
          <w:color w:val="000000"/>
          <w:sz w:val="24"/>
          <w:szCs w:val="24"/>
        </w:rPr>
        <w:t xml:space="preserve">Интерфейс должен быть адаптирован для пользователей с ограниченными возможностями в соответствии с требованиями WCAG 2.1 уровня AA. Это включает поддержку программ чтения с экрана, навигацию с помощью клавиатуры, высокий контраст элементов интерфейса. Система должна поддерживать не менее 3 языков интерфейса: русский, английский и казахский с возможностью переключения языка без перезагрузки приложения. Все текстовые элементы должны использовать читаемые шрифты размером не менее 14 пикселей.</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МТС Линк включает следующие основные этапы: техническое проектирование и создание архитектуры системы (продолжительность 6 недель), разработка серверных компонентов и API (12 недель), создание веб-интерфейса и мобильных приложений (10 недель), интеграция с корпоративными системами МТС (4 недели), комплексное тестирование и отладка (6 недель). Параллельно выполняется настройка инфраструктуры и систем мониторинга.</w:t>
      </w:r>
    </w:p>
    <w:p>
      <w:pPr>
        <w:spacing w:after="120"/>
        <w:jc w:val="both"/>
      </w:pPr>
      <w:r>
        <w:rPr>
          <w:rFonts w:ascii="Times New Roman" w:cs="Times New Roman" w:eastAsia="Times New Roman" w:hAnsi="Times New Roman"/>
          <w:i w:val="false"/>
          <w:iCs w:val="false"/>
          <w:color w:val="000000"/>
          <w:sz w:val="24"/>
          <w:szCs w:val="24"/>
        </w:rPr>
        <w:t xml:space="preserve">Состав работ по тестированию включает: модульное тестирование каждого компонента с покрытием кода не менее 80%, интеграционное тестирование взаимодействия между модулями, нагрузочное тестирование с имитацией 50 000 одновременных пользователей, тестирование безопасности включая проверку на уязвимости OWASP Top 10, тестирование удобства использования с привлечением фокус-групп из числа сотрудников МТС.</w:t>
      </w:r>
    </w:p>
    <w:p>
      <w:pPr>
        <w:spacing w:after="120"/>
        <w:jc w:val="both"/>
      </w:pPr>
      <w:r>
        <w:rPr>
          <w:rFonts w:ascii="Times New Roman" w:cs="Times New Roman" w:eastAsia="Times New Roman" w:hAnsi="Times New Roman"/>
          <w:i w:val="false"/>
          <w:iCs w:val="false"/>
          <w:color w:val="000000"/>
          <w:sz w:val="24"/>
          <w:szCs w:val="24"/>
        </w:rPr>
        <w:t xml:space="preserve">Дополнительные работы включают создание системы мониторинга и логирования на базе ELK Stack (Elasticsearch, Logstash, Kibana), разработка процедур резервного копирования и восстановления, создание документации для пользователей и администраторов, проведение обучения технических специалистов и ключевых пользователей. Планируется создание центра компетенций для последующей поддержки и развития системы силами 12 специалистов различного профиля.</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осуществляется по методологии Agile с использованием фреймворка Scrum. Длительность спринта составляет 2 недели с обязательным проведением ретроспектив и планированием следующих итераций. Команда разработки состоит из 25 специалистов: 3 архитектора решений, 8 backend-разработчиков, 6 frontend-разработчиков, 4 мобильных разработчика, 2 DevOps-инженера, 2 тестировщика.</w:t>
      </w:r>
    </w:p>
    <w:p>
      <w:pPr>
        <w:spacing w:after="120"/>
        <w:jc w:val="both"/>
      </w:pPr>
      <w:r>
        <w:rPr>
          <w:rFonts w:ascii="Times New Roman" w:cs="Times New Roman" w:eastAsia="Times New Roman" w:hAnsi="Times New Roman"/>
          <w:i w:val="false"/>
          <w:iCs w:val="false"/>
          <w:color w:val="000000"/>
          <w:sz w:val="24"/>
          <w:szCs w:val="24"/>
        </w:rPr>
        <w:t xml:space="preserve">Порядок выполнения работ предусматривает следующую последовательность: создание MVP (минимально жизнеспособного продукта) с базовой функциональностью видеосвязи к концу 2-го месяца, добавление функций мессенджера и совместной работы к концу 4-го месяца, интеграция с корпоративными системами и внедрение дополнительных функций к концу 6-го месяца, финальное тестирование и подготовка к промышленной эксплуатации в течение 7-8 месяцев.</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кода осуществляется через обязательное code review всех изменений двумя разработчиками, автоматизированное тестирование в CI/CD pipeline на базе GitLab CI, статический анализ кода с использованием SonarQube. Еженедельно проводятся демонстрации готовой функциональности заказчику с получением обратной связи и корректировкой требований при необходимости. Все изменения в коде версионируются в Git с обязательным описанием изменений согласно стандарту Conventional Commits.</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разработки осуществляется на всех этапах жизненного цикла проекта через систему milestone'ов с четко определенными критериями приемки. Промежуточные приемки проводятся по завершении каждого крупного этапа разработки с участием представителей заказчика, технических экспертов и пользователей. Критерии успешной приемки включают соответствие функциональным требованиям, прохождение всех тестов производительности, соответствие требованиям безопасности.</w:t>
      </w:r>
    </w:p>
    <w:p>
      <w:pPr>
        <w:spacing w:after="120"/>
        <w:jc w:val="both"/>
      </w:pPr>
      <w:r>
        <w:rPr>
          <w:rFonts w:ascii="Times New Roman" w:cs="Times New Roman" w:eastAsia="Times New Roman" w:hAnsi="Times New Roman"/>
          <w:i w:val="false"/>
          <w:iCs w:val="false"/>
          <w:color w:val="000000"/>
          <w:sz w:val="24"/>
          <w:szCs w:val="24"/>
        </w:rPr>
        <w:t xml:space="preserve">Финальная приемка системы включает следующие этапы: опытная эксплуатация с участием 1000 пилотных пользователей в течение 30 дней, нагрузочное тестирование в условиях максимальной нагрузки, аудит информационной безопасности силами независимых экспертов, проверка соответствия всем требованиям технического задания. По результатам каждого этапа составляется протокол с указанием выявленных замечаний и сроков их устранения.</w:t>
      </w:r>
    </w:p>
    <w:p>
      <w:pPr>
        <w:spacing w:after="120"/>
        <w:jc w:val="both"/>
      </w:pPr>
      <w:r>
        <w:rPr>
          <w:rFonts w:ascii="Times New Roman" w:cs="Times New Roman" w:eastAsia="Times New Roman" w:hAnsi="Times New Roman"/>
          <w:i w:val="false"/>
          <w:iCs w:val="false"/>
          <w:color w:val="000000"/>
          <w:sz w:val="24"/>
          <w:szCs w:val="24"/>
        </w:rPr>
        <w:t xml:space="preserve">Приемочная комиссия состоит из представителей заказчика (5 человек), разработчиков (3 человека), службы информационной безопасности (2 человека), службы эксплуатации (2 человека). Решение о приемке принимается большинством голосов при условии устранения всех критических замечаний. Гарантийные обязательства распространяются на период 12 месяцев с момента подписания акта о вводе в промышленную эксплуатацию, включая бесплатное устранение дефектов и техническую поддержку.</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должна включать следующие обязательные документы: техническое задание, архитектурное решение системы, руководство системного программиста, руководство администратора системы, руководство пользователя, описание интерфейсов взаимодействия (API), план развертывания и конфигурирования. Все документы должны быть оформлены в соответствии с ГОСТ 19.101-77 и внутренними стандартами МТС по документированию IT-решений.</w:t>
      </w:r>
    </w:p>
    <w:p>
      <w:pPr>
        <w:spacing w:after="120"/>
        <w:jc w:val="both"/>
      </w:pPr>
      <w:r>
        <w:rPr>
          <w:rFonts w:ascii="Times New Roman" w:cs="Times New Roman" w:eastAsia="Times New Roman" w:hAnsi="Times New Roman"/>
          <w:i w:val="false"/>
          <w:iCs w:val="false"/>
          <w:color w:val="000000"/>
          <w:sz w:val="24"/>
          <w:szCs w:val="24"/>
        </w:rPr>
        <w:t xml:space="preserve">Документация разрабатывается параллельно с программным кодом и обновляется при каждом значительном изменении функциональности. Руководство пользователя должно содержать пошаговые инструкции для всех функций системы с иллюстрациями и примерами использования. Техническая документация должна включать диаграммы архитектуры, схемы развертывания, описание алгоритмов и структур данных.</w:t>
      </w:r>
    </w:p>
    <w:p>
      <w:pPr>
        <w:spacing w:after="120"/>
        <w:jc w:val="both"/>
      </w:pPr>
      <w:r>
        <w:rPr>
          <w:rFonts w:ascii="Times New Roman" w:cs="Times New Roman" w:eastAsia="Times New Roman" w:hAnsi="Times New Roman"/>
          <w:i w:val="false"/>
          <w:iCs w:val="false"/>
          <w:color w:val="000000"/>
          <w:sz w:val="24"/>
          <w:szCs w:val="24"/>
        </w:rPr>
        <w:t xml:space="preserve">Вся документация должна быть доступна в электронном виде через корпоративный портал знаний с возможностью полнотекстового поиска. Обязательно создание видео-руководств продолжительностью от 5 до 15 минут для основных пользовательских сценариев. Документация должна поддерживать версионирование с возможностью отслеживания изменений и откатов к предыдущим версиям. Планируется создание интерактивной справочной системы, встроенной в интерфейс приложения, с контекстными подсказками и возможностью обратной связи от пользователей.</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МТС Линк основывается на анализе существующих решений видеосвязи, включая Zoom, Microsoft Teams, Cisco Webex, отечественные решения TrueConf и Vinteo. Изучены технические требования к корпоративным коммуникационным платформам согласно рекомендациям ITU-T серии H для видеосвязи и RFC стандартам для веб-коммуникаций. Учтены требования российского законодательства в области обработки персональных данных и информационной безопасности.</w:t>
      </w:r>
    </w:p>
    <w:p>
      <w:pPr>
        <w:spacing w:after="120"/>
        <w:jc w:val="both"/>
      </w:pPr>
      <w:r>
        <w:rPr>
          <w:rFonts w:ascii="Times New Roman" w:cs="Times New Roman" w:eastAsia="Times New Roman" w:hAnsi="Times New Roman"/>
          <w:i w:val="false"/>
          <w:iCs w:val="false"/>
          <w:color w:val="000000"/>
          <w:sz w:val="24"/>
          <w:szCs w:val="24"/>
        </w:rPr>
        <w:t xml:space="preserve">В качестве источников использованы результаты внутреннего исследования потребностей сотрудников МТС в корпоративных коммуникациях, проведенного в 2023 году с участием 5000 респондентов. Проанализированы лучшие практики внедрения корпоративных коммуникационных платформ в крупных российских и международных компаниях телекоммуникационной отрасли. Использованы рекомендации консалтинговых компаний Gartner и IDC по тенденциям развития рынка UCaaS (Unified Communications as a Service).</w:t>
      </w:r>
    </w:p>
    <w:p>
      <w:pPr>
        <w:spacing w:after="120"/>
        <w:jc w:val="both"/>
      </w:pPr>
      <w:r>
        <w:rPr>
          <w:rFonts w:ascii="Times New Roman" w:cs="Times New Roman" w:eastAsia="Times New Roman" w:hAnsi="Times New Roman"/>
          <w:i w:val="false"/>
          <w:iCs w:val="false"/>
          <w:color w:val="000000"/>
          <w:sz w:val="24"/>
          <w:szCs w:val="24"/>
        </w:rPr>
        <w:t xml:space="preserve">Технические решения базируются на открытых стандартах WebRTC для организации медиа-коммуникаций, протоколах SIP и RTP для сигнализации и передачи медиа-потоков, стандартах OAuth 2.0 и OpenID Connect для аутентификации и авторизации. Архитектурные принципы соответствуют методологии cloud-native development и паттернам микросервисной архитектуры согласно рекомендациям Cloud Native Computing Foundation.</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Интеграция с системами искусственного интеллекта для автоматической транскрипции речи в текст на русском и английском языках с точностью не менее 95%, что позволит создавать автоматические протоколы совещаний и повысит доступность системы для людей с нарушениями слуха. Планируется использование технологий машинного обучения для анализа тональности разговоров и выявления ключевых моментов дискуссий.</w:t>
      </w:r>
    </w:p>
    <w:p>
      <w:pPr>
        <w:spacing w:after="120"/>
        <w:jc w:val="both"/>
      </w:pPr>
      <w:r>
        <w:rPr>
          <w:rFonts w:ascii="Times New Roman" w:cs="Times New Roman" w:eastAsia="Times New Roman" w:hAnsi="Times New Roman"/>
          <w:i w:val="false"/>
          <w:iCs w:val="false"/>
          <w:color w:val="000000"/>
          <w:sz w:val="24"/>
          <w:szCs w:val="24"/>
        </w:rPr>
        <w:t xml:space="preserve">Разработка модуля виртуального помощника на базе технологий NLP для планирования встреч, поиска информации в корпоративных системах и автоматического формирования отчетов о проведенных конференциях. Помощник должен поддерживать голосовые команды и интеграцию с популярными голосовыми ассистентами Алиса и Google Assistant.</w:t>
      </w:r>
    </w:p>
    <w:p>
      <w:pPr>
        <w:spacing w:after="120"/>
        <w:jc w:val="both"/>
      </w:pPr>
      <w:r>
        <w:rPr>
          <w:rFonts w:ascii="Times New Roman" w:cs="Times New Roman" w:eastAsia="Times New Roman" w:hAnsi="Times New Roman"/>
          <w:i w:val="false"/>
          <w:iCs w:val="false"/>
          <w:color w:val="000000"/>
          <w:sz w:val="24"/>
          <w:szCs w:val="24"/>
        </w:rPr>
        <w:t xml:space="preserve">Внедрение технологий дополненной реальности (AR) для проведения виртуальных презентаций и демонстраций продукций с использованием 3D-моделей. Это особенно актуально для технических специалистов МТС при обслуживании корпоративных клиентов и проведении обучения по сложному оборудованию.</w:t>
      </w:r>
    </w:p>
    <w:p>
      <w:pPr>
        <w:spacing w:after="120"/>
        <w:jc w:val="both"/>
      </w:pPr>
      <w:r>
        <w:rPr>
          <w:rFonts w:ascii="Times New Roman" w:cs="Times New Roman" w:eastAsia="Times New Roman" w:hAnsi="Times New Roman"/>
          <w:i w:val="false"/>
          <w:iCs w:val="false"/>
          <w:color w:val="000000"/>
          <w:sz w:val="24"/>
          <w:szCs w:val="24"/>
        </w:rPr>
        <w:t xml:space="preserve">Создание модуля интеграции с IoT-устройствами для автоматического управления переговорными комнатами: включение освещения, настройка климат-контроля, бронирование оборудования. Система должна поддерживать протоколы MQTT и CoAP для взаимодействия с устройствами умного здания.</w:t>
      </w:r>
    </w:p>
    <w:p>
      <w:pPr>
        <w:spacing w:after="120"/>
        <w:jc w:val="both"/>
      </w:pPr>
      <w:r>
        <w:rPr>
          <w:rFonts w:ascii="Times New Roman" w:cs="Times New Roman" w:eastAsia="Times New Roman" w:hAnsi="Times New Roman"/>
          <w:i w:val="false"/>
          <w:iCs w:val="false"/>
          <w:color w:val="000000"/>
          <w:sz w:val="24"/>
          <w:szCs w:val="24"/>
        </w:rPr>
        <w:t xml:space="preserve">Разработка блокчейн-модуля для обеспечения неизменности аудита критически важных переговоров и соответствия требованиям регулятора в финансовом секторе. Это откроет возможности для использования системы корпоративными клиентами МТС из банковской и государственной сферы, где требуется особый уровень юридической значимости записей совещаний.</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МТС Линк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2026-03-31T21:04:19.052Z</dcterms:created>
  <dcterms:modified xsi:type="dcterms:W3CDTF">2026-03-31T21:04:19.052Z</dcterms:modified>
</cp:coreProperties>
</file>

<file path=docProps/custom.xml><?xml version="1.0" encoding="utf-8"?>
<Properties xmlns="http://schemas.openxmlformats.org/officeDocument/2006/custom-properties" xmlns:vt="http://schemas.openxmlformats.org/officeDocument/2006/docPropsVTypes"/>
</file>