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Doctor Web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«Комплексная система антивирусной защиты Doctor Web». Условное обозначение: DRW-AV-2024. Система предназначена для обнаружения, блокирования и удаления вредоносного программного обеспечения на персональных компьютерах и корпоративных сетях.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«Доктор Веб» (115114, г. Москва, 2-й Дербеневский пер., д. 20, стр. 25). Соисполнители: НИИ системной интеграции и защиты информации при МГУ им. М.В. Ломоносова.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проекта — 01.02.2024, завершение разработки — 30.11.2024, внедрение и ввод в эксплуатацию — 31.01.2025. Общая продолжительность проекта составляет 12 месяцев.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Основная цель создания системы — обеспечение комплексной защиты информационных ресурсов от вредоносного программного обеспечения с показателем обнаружения известных угроз не менее 99,8% и ложных срабатываний не более 0,01%. Система должна обеспечить снижение времени реакции на новые угрозы до 15 минут с момента их выявления в глобальной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предназначена для автоматизации процессов антивирусной защиты в корпоративной среде, включая централизованное управление политиками безопасности, мониторинг состояния защищенности рабочих станций и серверов, а также формирование отчетности по инцидентам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охватывает автоматизацию деятельности администраторов информационной безопасности, системных администраторов и конечных пользователей в части обеспечения антивирусной защиты корпоративной IT-инфраструктуры численностью до 10000 рабочих мест.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обеспечения антивирусной защиты корпоративной информационной системы, включающей файловые серверы, рабочие станции, почтовые серверы и веб-шлюзы. Система должна функционировать в гетерогенной среде, поддерживая операционные системы семейства Windows (7, 8.1, 10, 11, Server 2012-2022), Linux (Ubuntu 18.04+, CentOS 7+, RHEL 7+) и macOS (10.14+).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круглосуточную работу в режиме 24/7 при температуре окружающей среды от +10°C до +35°C и относительной влажности не более 80%. Система должна обеспечивать стабильную работу при пиковых нагрузках до 500 одновременных проверок файлов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 автоматизации характеризуется высокими требованиями к надежности и производительности, поскольку простои антивирусной защиты могут привести к критическим инцидентам информационной безопасности и финансовым потерям организации до 500000 рублей в час простоя.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иметь модульную архитектуру, состоящую из центрального сервера управления (Enterprise Security Suite), агентов защиты на рабочих станциях и серверах, и веб-консоли администрирования. Центральный сервер должен поддерживать развертывание в виртуализированной среде VMware vSphere 6.7+ или Microsoft Hyper-V Server 2016+.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обновлений должна обеспечивать загрузку антивирусных баз каждые 15 минут с зеркальных серверов, расположенных в различных географических зонах. Подсистема отчетности должна генерировать более 25 типов отчетов в форматах PDF, Excel и HTML с возможностью автоматической рассылки по электронной почте.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должна поддерживать горизонтальное масштабирование с возможностью добавления дополнительных серверов управления без прерывания работы системы. Все компоненты должны взаимодействовать через защищенные каналы с использованием протоколов TLS 1.2+ и взаимной аутентификации на основе сертификатов.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антивирусного сканирования файлов должна обеспечивать проверку объектов в режиме реального времени со скоростью не менее 1000 файлов в минуту, результат — блокирование или удаление зараженных объектов с записью в журнал событий. Функция эвристического анализа должна выявлять неизвестные угрозы с точностью не менее 85%, результат — помещение подозрительных объектов в карантин для дальнейшего анализа.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централизованного управления политиками безопасности должна позволять настройку параметров защиты для групп компьютеров с применением изменений в течение 5 минут, результат — синхронизация настроек на всех управляемых узлах. Функция мониторинга сетевого трафика должна анализировать до 10 Гбит/с трафика на предмет вредоносной активности, результат — блокирование подозрительных соединений и уведомление администратора.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резервного копирования конфигураций должна создавать ежедневные копии настроек системы с хранением архивов в течение 90 дней, результат — возможность восстановления работоспособности в течение 30 минут. Функция интеграции с SIEM-системами должна передавать события безопасности в формате CEF или LEEF, результат — консолидированный мониторинг инцидентов ИБ. Функция веб-фильтрации должна блокировать доступ к вредоносным сайтам на основе репутационных баз, содержащих более 500 млн URL-адресов, результат — предотвращение заражения через веб-браузеры.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контроля внешних устройств должна ограничивать использование USB-накопителей согласно корпоративным политикам, результат — предотвращение утечек данных и заражения через съемные носители. Функция анализа поведения приложений должна выявлять аномальную активность программ с использованием машинного обучения, результат — обнаружение APT-атак и целевых угроз. Функция формирования отчетности должна генерировать сводные отчеты о состоянии защищенности с детализацией по подразделениям, результат — еженедельные и ежемесячные отчеты для руководства с ключевыми метриками безопасности.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функционировать под управлением операционных систем Microsoft Windows Server 2016/2019/2022 (Standard или Datacenter Edition) или Linux дистрибутивов RHEL 8.0+, CentOS 8.0+, Ubuntu Server 20.04 LTS+. Требуется установленная СУБД Microsoft SQL Server 2016+ (Standard Edition или выше) или PostgreSQL 12.0+ для хранения конфигурационной информации и журналов событий.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Клиентская часть должна поддерживать операционные системы Microsoft Windows 7 SP1, Windows 8.1, Windows 10 (все редакции), Windows 11, macOS 10.15+, а также Linux дистрибутивы Ubuntu 18.04+, CentOS 7+. Веб-консоль администрирования должна корректно отображаться в браузерах Google Chrome 90+, Mozilla Firefox 88+, Microsoft Edge 90+, Safari 14+.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системы требуется установленный Microsoft .NET Framework 4.8 или .NET Core 6.0+ на серверах Windows, а также веб-сервер IIS 10.0+ или Apache HTTP Server 2.4+. Система должна поддерживать интеграцию с Active Directory для аутентификации пользователей и применения групповых политик.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 управления должен быть оснащен процессором Intel Xeon E5-2600 v4+ или AMD EPYC 7002+ с минимум 8 физическими ядрами и частотой не менее 2.4 ГГц. Объем оперативной памяти должен составлять не менее 32 ГБ DDR4 с возможностью расширения до 128 ГБ для обеспечения обработки данных от 5000+ управляемых узлов.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Дисковая подсистема сервера должна включать SSD-накопители объемом не менее 500 ГБ для системных файлов и баз данных, а также HDD-накопители объемом не менее 2 ТБ для хранения журналов и архивов. Рекомендуется использование RAID-массивов уровня 1 или 10 для обеспечения отказоустойчивости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Рабочие станции должны быть оснащены процессорами Intel Core i3 8-го поколения или AMD Ryzen 3 2000+ с объемом ОЗУ не менее 4 ГБ и свободным дисковым пространством не менее 2 ГБ. Дисплеи должны поддерживать разрешение не менее 1366x768 пикселей для корректного отображения интерфейса системы. Сетевое оборудование должно обеспечивать пропускную способность не менее 100 Мбит/с на порт для своевременной доставки обновлений антивирусных баз.</w:t>
      </w:r>
    </w:p>
    <w:p>
      <w:pPr>
        <w:pStyle w:val="Heading2"/>
      </w:pPr>
      <w:r>
        <w:rPr>
          <w:b/>
          <w:bCs/>
        </w:rPr>
        <w:t xml:space="preserve">4.5. Требования к надежности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в течение календарного года, что соответствует допустимому времени простоя не более 8 часов 45 минут в год. Среднее время восстановления работоспособности после сбоя не должно превышать 15 минут при условии наличия резервного оборудования и актуальных резервных копий.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Вероятность безотказной работы системы в течение 720 часов непрерывной эксплуатации должна составлять не менее 0,995. Система должна автоматически переключаться на резервный сервер управления в случае отказа основного сервера без потери функциональности и с временем переключения не более 3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требуемого уровня надежности система должна включать механизмы автоматического мониторинга состояния компонентов, проактивного обнаружения неисправностей и уведомления администраторов о критических событиях. Все критически важные компоненты должны иметь резервные копии, обновляемые с периодичностью не реже одного раза в сутки.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ГОСТ Р 51583-2014 в части защиты информации в автоматизированных системах. Все коммуникации между компонентами системы должны осуществляться по защищенным каналам с использованием криптографических протоколов TLS 1.3 или IPSec с алгоритмами шифрования AES-256.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Аутентификация пользователей должна поддерживать двухфакторную аутентификацию (2FA) с использованием TOTP-токенов или SMS-кодов. Система должна вести подробный журнал действий пользователей с возможностью цифровой подписи записей и защитой от модификации. Минимальная длина пароля должна составлять 12 символов с обязательным использованием спецсимволов и смешанного регистра.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Доступ к административным функциям должен осуществляться только с авторизованных рабочих мест через защищенное VPN-соединение. Система должна поддерживать ролевую модель разграничения доступа с возможностью создания настраиваемых ролей и назначения детализированных привилегий. Все исполняемые файлы системы должны иметь цифровую подпись разработчика для предотвращения подмены.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системы должен соответствовать принципам юзабилити и обеспечивать интуитивно понятное взаимодействие для пользователей с минимальным уровнем технической подготовки. Время отклика интерфейса на действия пользователя не должно превышать 3 секунд для 95% операций, а для критически важных функций — не более 1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Веб-консоль администрирования должна поддерживать адаптивный дизайн для корректного отображения на устройствах с различными разрешениями экрана, включая планшеты и мобильные устройства. Интерфейс должен поддерживать настройку цветовых схем, включая режим повышенной контрастности для пользователей с ограниченными возможностями зрения.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предоставлять контекстную справку и всплывающие подсказки для всех элементов интерфейса. Навигация по системе должна быть логически структурированной с возможностью быстрого доступа к часто используемым функциям через панель быстрого доступа или горячие клавиши. Все уведомления и сообщения об ошибках должны быть сформулированы на понятном русском языке с указанием конкретных действий для устранения проблемы.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включает анализ требований и проектирование архитектуры системы, разработку серверных компонентов и клиентских агентов, создание веб-интерфейса администрирования, разработку подсистемы обновлений антивирусных баз, интеграцию с внешними системами безопасности. Дополнительно предусматривается разработка системы отчетности, модулей мониторинга и диагностики, а также создание инсталляционных пакетов для различных операционных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Содержание работ по тестированию включает модульное, интеграционное и системное тестирование, нагрузочное тестирование с имитацией работы до 10000 одновременных пользователей, тестирование безопасности и проведение пентестов. Предусматривается тестирование совместимости с различными конфигурациями аппаратного и программного обеспечения, а также валидация производительности системы в условиях пиковых нагрузок.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Завершающий этап работ включает подготовку технической документации, проведение опытной эксплуатации в течение 30 дней, обучение администраторов и конечных пользователей, а также осуществление перехода в промышленную эксплуатацию с сопровождением в течение гарантийного периода 12 месяцев.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методологии Agile с использованием двухнедельных спринтов. Первый этап (февраль-март 2024) включает анализ требований, создание технического проекта и прототипирование ключевых компонентов системы. Второй этап (апрель-июнь 2024) предусматривает разработку серверной части, базовой функциональности антивирусного движка и веб-интерфейса администрирования.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Третий этап (июль-август 2024) включает разработку клиентских агентов для различных операционных систем, интеграцию с системами управления и создание подсистемы отчетности. Четвертый этап (сентябрь-октябрь 2024) предусматривает комплексное тестирование, оптимизацию производительности и устранение выявленных дефектов.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Заключительный пятый этап (ноябрь 2024 - январь 2025) включает подготовку релизной версии, проведение приемочных испытаний, развертывание в продуктивной среде заказчика и передачу системы в эксплуатацию. На каждом этапе предусматривается еженедельная отчетность о ходе выполнения работ и демонстрация промежуточных результатов заказчику.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основе еженедельных демонстраций функциональности, code review всех программных модулей и автоматизированного тестирования с покрытием кода не менее 85%. Приемочные испытания проводятся в два этапа: предварительные испытания в среде разработчика и окончательные испытания в среде заказчика с участием независимой комиссии экспертов.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включают соответствие всем функциональным требованиям, указанным в разделе 4.2, достижение заданных показателей производительности и надежности, успешное прохождение нагрузочных тестов с имитацией работы 5000 пользователей в течение 24 часов непрерывной работы. Дополнительно проверяется соответствие требованиям информационной безопасности путем проведения пентестов и анализа защищенности.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Протокол приемочных испытаний должен содержать результаты всех проведенных тестов, замеры производительности, подтверждение соответствия техническим требованиям и заключение о готовности системы к эксплуатации. Система считается принятой после подписания акта приемки-передачи и устранения всех критических замечаний, выявленных в ходе испытаний.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техническое задание, технический проект, программу и методики испытаний, руководство системного программиста, руководство администратора системы, руководство пользователя и описание применения. Все документы должны быть оформлены в соответствии с ГОСТ 19.106-78 и переданы заказчику в печатном виде (2 экземпляра) и в электронном виде в форматах PDF и MS Word.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администратора должно содержать подробное описание процедур установки, настройки, мониторинга и обслуживания системы, включая типовые сценарии устранения неисправностей и рекомендации по оптимизации производительности. Руководство пользователя должно содержать пошаговые инструкции по работе с системой, снабженные скриншотами интерфейса и примерами выполнения типовых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применения должно содержать архитектурные решения, обоснование выбора технологий, описание алгоритмов работы ключевых компонентов системы и рекомендации по масштабированию. Вся документация должна быть актуализирована в соответствии с финальной версией программного продукта и содержать информацию о версии системы, дате создания документа и контактных данных службы технической поддержки.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разработки являются международные стандарты информационной безопасности ISO/IEC 27001:2013, ISO/IEC 27002:2013, российские стандарты ГОСТ Р 51583-2014, ГОСТ Р ИСО/МЭК 15408-1-2012, а также отраслевые рекомендации ФСТЭК России и ФСБ России по защите информации в автоматизированных системах. Дополнительно используются стандарты NIST Cybersecurity Framework и рекомендации ENISA по обеспечению кибербезопасности.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Технологические источники включают документацию по платформам Microsoft Windows SDK, Linux Kernel API, методические материалы по разработке антивирусного программного обеспечения, публикации в области машинного обучения для обнаружения вредоносного ПО. Используются открытые базы данных угроз MITRE ATT&amp;CK Framework, CVE Database, а также репутационные базы вредоносных URL и хешей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Источниками требований к пользовательскому интерфейсу служат руководящие принципы Material Design, Human Interface Guidelines, исследования в области UX/UI дизайна корпоративных систем безопасности. Дополнительно анализируются лучшие практики ведущих мировых производителей антивирусного ПО и результаты независимых тестирований AV-Test, AV-Comparatives, Virus Bulletin.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технологий машинного обучения для повышения точности обнаружения неизвестных угроз с использованием нейронных сетей глубокого обучения и анализа поведенческих паттернов. Планируемое улучшение показателя обнаружения zero-day угроз до 92% при снижении количества ложных срабатываний до 0,005%.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мобильного приложения для iOS и Android, обеспечивающего удаленное управление системой антивирусной защиты, мониторинг критических событий в режиме реального времени и получение push-уведомлений о инцидентах безопасности. Приложение должно поддерживать биометрическую аутентификацию и работу в офлайн-режиме.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модуля анализа сетевого трафика на базе технологий Deep Packet Inspection (DPI) для обнаружения скрытых каналов передачи данных, ботнетов и APT-атак. Модуль должен анализировать метаданные сетевых соединений и выявлять аномалии в сетевой активности с использованием методов статистического анализа.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подсистемы Threat Intelligence с автоматическим сбором и анализом данных об актуальных киберугрозах из открытых и коммерческих источников. Подсистема должна обеспечивать автоматическое обновление правил обнаружения на основе полученной информации об угрозах и интеграцию с международными системами обмена индикаторами компрометации.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песочницы (sandbox) для динамического анализа подозрительных файлов в изолированной виртуальной среде с эмуляцией различных операционных систем и приложений. Модуль должен поддерживать анализ до 1000 объектов в час и генерировать подробные отчеты о поведении исследуемых файлов с возможностью создания сигнатур для обнаружения аналогичных угроз.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Doctor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2026-03-31T20:23:01.875Z</dcterms:created>
  <dcterms:modified xsi:type="dcterms:W3CDTF">2026-03-31T20:23:01.875Z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