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40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34ab7"/>
          <w:sz w:val="20"/>
          <w:szCs w:val="20"/>
          <w:rtl w:val="0"/>
        </w:rPr>
        <w:t xml:space="preserve">А3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3557"/>
          <w:sz w:val="20"/>
          <w:szCs w:val="20"/>
          <w:rtl w:val="0"/>
        </w:rPr>
        <w:t xml:space="preserve">Бизнес-стратегия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5f5e5a"/>
          <w:sz w:val="20"/>
          <w:szCs w:val="20"/>
          <w:rtl w:val="0"/>
        </w:rPr>
        <w:t xml:space="preserve">Горизонт планирования: 2026–2030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5f5e5a"/>
          <w:sz w:val="20"/>
          <w:szCs w:val="20"/>
          <w:rtl w:val="0"/>
        </w:rPr>
        <w:t xml:space="preserve">Март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534ab7" w:space="1" w:sz="4" w:val="single"/>
        </w:pBdr>
        <w:spacing w:after="160" w:before="1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20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f5e5a"/>
          <w:sz w:val="20"/>
          <w:szCs w:val="20"/>
          <w:rtl w:val="0"/>
        </w:rPr>
        <w:t xml:space="preserve">Конфиденциальный документ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 Vision и стратегические цели</w:t>
      </w:r>
    </w:p>
    <w:p w:rsidR="00000000" w:rsidDel="00000000" w:rsidP="00000000" w:rsidRDefault="00000000" w:rsidRPr="00000000" w14:paraId="00000009">
      <w:pPr>
        <w:pStyle w:val="Heading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1.1 Vision 2030</w:t>
      </w:r>
    </w:p>
    <w:p w:rsidR="00000000" w:rsidDel="00000000" w:rsidP="00000000" w:rsidRDefault="00000000" w:rsidRPr="00000000" w14:paraId="0000000A">
      <w:pPr>
        <w:shd w:fill="e6f1fb" w:val="clear"/>
        <w:spacing w:before="80" w:lineRule="auto"/>
        <w:ind w:left="200" w:right="20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d3557"/>
          <w:sz w:val="20"/>
          <w:szCs w:val="20"/>
          <w:rtl w:val="0"/>
        </w:rPr>
        <w:t xml:space="preserve">Стать одной из ведущих продуктовых финтех IT-компаний в России: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e6f1fb" w:val="clear"/>
        <w:ind w:left="200" w:right="20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d3557"/>
          <w:sz w:val="20"/>
          <w:szCs w:val="20"/>
          <w:rtl w:val="0"/>
        </w:rPr>
        <w:t xml:space="preserve">устойчивой, быстрорастущей, узнаваемой и диверсифицированной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e6f1fb" w:val="clear"/>
        <w:spacing w:after="80" w:lineRule="auto"/>
        <w:ind w:left="200" w:right="20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d3557"/>
          <w:sz w:val="20"/>
          <w:szCs w:val="20"/>
          <w:rtl w:val="0"/>
        </w:rPr>
        <w:t xml:space="preserve">по продуктам, партнёрам и источникам выручки.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1.2 Количественные параметры Vision 2030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Целевое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Рост выручки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&gt; 45% YoY ежегодно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Выручка к 2030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10.7 млрд ₽ / го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Структура выручки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70% транзакционная / 30% нетранзакционная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Доля одного продукта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не более 30% выручки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Доля одного партнёра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не более 20% выручки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Позиция на рынке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Топ-10 финтех-компаний РФ по выручке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Модель расчётов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Диверсифицированная, включая РНКО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1.3 Цели 2026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Значение / критерий успеха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Выручка с НДС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2 433 млн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Выручка без НДС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2 122 млн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Нетранзакционный доход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470 млн ₽ (80% законтрактовано) и выше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Доля Альфа-Банка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&lt; 40% выручк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НДС от выручки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1670333886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20"/>
                    <w:szCs w:val="20"/>
                    <w:rtl w:val="0"/>
                  </w:rPr>
                  <w:t xml:space="preserve">≤ 10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РНКО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Лицензия ЦБ + открытый корр. счёт + запуск у 1 партнёра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А3 Лаб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Создание продукта (робот) для формирования п/п в АБС РНКО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Poseidon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Промышленное использование у 6+ партнёров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Банки-партнёры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-1395321041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20"/>
                    <w:szCs w:val="20"/>
                    <w:rtl w:val="0"/>
                  </w:rPr>
                  <w:t xml:space="preserve">58 банков, среднее проникновение 1.90 → цел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ь 3,4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Поставщики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+1 000 новых подключени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й, итого 3 000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color w:val="2e5f8a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5f8a"/>
          <w:sz w:val="20"/>
          <w:szCs w:val="20"/>
          <w:rtl w:val="0"/>
        </w:rPr>
        <w:t xml:space="preserve">1.4 Показатели 2025</w:t>
      </w:r>
    </w:p>
    <w:p w:rsidR="00000000" w:rsidDel="00000000" w:rsidP="00000000" w:rsidRDefault="00000000" w:rsidRPr="00000000" w14:paraId="00000039">
      <w:pPr>
        <w:pStyle w:val="Heading2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heading=h.mgeg9ao81whv" w:id="0"/>
      <w:bookmarkEnd w:id="0"/>
      <w:r w:rsidDel="00000000" w:rsidR="00000000" w:rsidRPr="00000000">
        <w:rPr>
          <w:rtl w:val="0"/>
        </w:rPr>
      </w:r>
    </w:p>
    <w:tbl>
      <w:tblPr>
        <w:tblStyle w:val="Table3"/>
        <w:tblW w:w="91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95"/>
        <w:gridCol w:w="5970"/>
        <w:tblGridChange w:id="0">
          <w:tblGrid>
            <w:gridCol w:w="3195"/>
            <w:gridCol w:w="59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Показатель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Выручка с НДС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1 678 млн 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Выручка без НДС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1 643 млн 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Нетранзакционный доход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294 млн 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Структура выручки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82,4 транзакционная / 17,6% нетранзакционная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Доля Альфа-Банка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48,7% выручки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Банки-партнёры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49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Поставщики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2000+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Позиция на рынке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Топ-40 финтех компаний РФ по выручке</w:t>
            </w:r>
          </w:p>
        </w:tc>
      </w:tr>
    </w:tbl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 Позиционирование и бренд</w:t>
      </w:r>
    </w:p>
    <w:p w:rsidR="00000000" w:rsidDel="00000000" w:rsidP="00000000" w:rsidRDefault="00000000" w:rsidRPr="00000000" w14:paraId="0000004E">
      <w:pPr>
        <w:pStyle w:val="Heading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2.1 Роль бренда</w:t>
      </w:r>
    </w:p>
    <w:p w:rsidR="00000000" w:rsidDel="00000000" w:rsidP="00000000" w:rsidRDefault="00000000" w:rsidRPr="00000000" w14:paraId="0000004F">
      <w:pPr>
        <w:spacing w:after="80" w:before="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Инфраструктурный игрок, объединяющий участников финансового рынка.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2.2 Positioning Statement</w:t>
      </w:r>
    </w:p>
    <w:p w:rsidR="00000000" w:rsidDel="00000000" w:rsidP="00000000" w:rsidRDefault="00000000" w:rsidRPr="00000000" w14:paraId="00000051">
      <w:pPr>
        <w:shd w:fill="f1efe8" w:val="clear"/>
        <w:spacing w:before="80" w:lineRule="auto"/>
        <w:ind w:left="200" w:right="20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Для банков, поставщиков услуг и участников финансового рынка мы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1efe8" w:val="clear"/>
        <w:ind w:left="200" w:right="20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инфраструктурный игрок, который обеспечивает эффективное взаимодействие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1efe8" w:val="clear"/>
        <w:ind w:left="200" w:right="20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и ускоряет финансовые процессы, объединяя участников рынка,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1efe8" w:val="clear"/>
        <w:spacing w:after="80" w:lineRule="auto"/>
        <w:ind w:left="200" w:right="20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и обладает доступом к ключевым данным и масштабируемой инфраструктуре.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2.3 Дифференциатор (Core Differentiation)</w:t>
      </w:r>
    </w:p>
    <w:p w:rsidR="00000000" w:rsidDel="00000000" w:rsidP="00000000" w:rsidRDefault="00000000" w:rsidRPr="00000000" w14:paraId="00000057">
      <w:pPr>
        <w:shd w:fill="e6f1fb" w:val="clear"/>
        <w:spacing w:before="80" w:lineRule="auto"/>
        <w:ind w:left="200" w:right="20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d3557"/>
          <w:sz w:val="20"/>
          <w:szCs w:val="20"/>
          <w:rtl w:val="0"/>
        </w:rPr>
        <w:t xml:space="preserve">Мы — единственная компания на рынке, которая объединяет банки, поставщиков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e6f1fb" w:val="clear"/>
        <w:ind w:left="200" w:right="20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d3557"/>
          <w:sz w:val="20"/>
          <w:szCs w:val="20"/>
          <w:rtl w:val="0"/>
        </w:rPr>
        <w:t xml:space="preserve">и государственные сервисы (ГИС ГМП, СМЭВ, ГИС ЖКХ) в единую инфраструктуру, обеспечивая скорость, масштаб и точность финансовых операций, недостижимые для отдельных решений.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3557"/>
          <w:sz w:val="20"/>
          <w:szCs w:val="20"/>
          <w:rtl w:val="0"/>
        </w:rPr>
        <w:t xml:space="preserve">Стратегический барьер.</w:t>
      </w:r>
      <w:r w:rsidDel="00000000" w:rsidR="00000000" w:rsidRPr="00000000">
        <w:rPr>
          <w:rFonts w:ascii="Times New Roman" w:cs="Times New Roman" w:eastAsia="Times New Roman" w:hAnsi="Times New Roman"/>
          <w:color w:val="1d3557"/>
          <w:sz w:val="20"/>
          <w:szCs w:val="20"/>
          <w:rtl w:val="0"/>
        </w:rPr>
        <w:t xml:space="preserve"> Наша позиция опирается на две ключевые опоры цифровой экономики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3557"/>
          <w:sz w:val="20"/>
          <w:szCs w:val="20"/>
          <w:rtl w:val="0"/>
        </w:rPr>
        <w:t xml:space="preserve">данные</w:t>
      </w:r>
      <w:r w:rsidDel="00000000" w:rsidR="00000000" w:rsidRPr="00000000">
        <w:rPr>
          <w:rFonts w:ascii="Times New Roman" w:cs="Times New Roman" w:eastAsia="Times New Roman" w:hAnsi="Times New Roman"/>
          <w:color w:val="1d3557"/>
          <w:sz w:val="20"/>
          <w:szCs w:val="20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3557"/>
          <w:sz w:val="20"/>
          <w:szCs w:val="20"/>
          <w:rtl w:val="0"/>
        </w:rPr>
        <w:t xml:space="preserve">рельсы</w:t>
      </w:r>
      <w:r w:rsidDel="00000000" w:rsidR="00000000" w:rsidRPr="00000000">
        <w:rPr>
          <w:rFonts w:ascii="Times New Roman" w:cs="Times New Roman" w:eastAsia="Times New Roman" w:hAnsi="Times New Roman"/>
          <w:color w:val="1d3557"/>
          <w:sz w:val="20"/>
          <w:szCs w:val="20"/>
          <w:rtl w:val="0"/>
        </w:rPr>
        <w:t xml:space="preserve"> (доступ к уникальным данным + информационно-платежная инфраструктуры). Это сочетание формирует конкурентное преимущество, которое дорого, долго и сложно воспроизвести.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2.4 Ценностное предложение — три уровня</w:t>
      </w:r>
    </w:p>
    <w:tbl>
      <w:tblPr>
        <w:tblStyle w:val="Table4"/>
        <w:tblW w:w="9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49"/>
        <w:gridCol w:w="2188"/>
        <w:gridCol w:w="5123"/>
        <w:tblGridChange w:id="0">
          <w:tblGrid>
            <w:gridCol w:w="2249"/>
            <w:gridCol w:w="2188"/>
            <w:gridCol w:w="512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Тип ценности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Функциональная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Что мы делаем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Доступ к данным · Процессинг · Инфраструктура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Трансформационная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Что получает клиент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Ускорение бизнеса · Рост операций · Финансовая оптимизация · Масштабирование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Эмоциональная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Как клиент себя чувствует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Надёжность · Инновационность · Скорость · Лёгкость · Уверенность · Контроль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2.5 Messaging Pillars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Пиллар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Ключевое сообщение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Инфраструктура, которая объединяет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Один договор = доступ к 58+ банкам и тысячам поставщиков. Не сервис — новый слой финансовой экономики.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Скорость как конкурентное оружие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Интеграция поставщика за 5 минут через AI. Пока конкурент настраивает, мы уже запускаем следующую.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Надежность, которую не замечают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Uptime 99.95%, churn 0%, ни один партнёр не ушёл. Лучшая инфра — та, которую не замечаешь.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Доступ к данным, которого нет у других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Прямые интеграции с ГИС ГМП, СМЭВ, ГИС ЖКХ — эксклюзивный доступ к гос. данным, который нельзя скопировать быстро.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Партнер роста, а не поставщик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80% не транзакционной выручки законтрактовано. Растём вместе — win-win зашит в структуру контракта.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3. Анализ рынка и SWOT</w:t>
      </w:r>
    </w:p>
    <w:p w:rsidR="00000000" w:rsidDel="00000000" w:rsidP="00000000" w:rsidRDefault="00000000" w:rsidRPr="00000000" w14:paraId="00000079">
      <w:pPr>
        <w:pStyle w:val="Heading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3.1 Рыночная позиция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Рынок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867700632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20"/>
                    <w:szCs w:val="20"/>
                    <w:rtl w:val="0"/>
                  </w:rPr>
                  <w:t xml:space="preserve">Финтех / Платежи и переводы / Процессинг и финансовые услуги </w:t>
                  <w:br w:type="textWrapping"/>
                  <w:t xml:space="preserve">Основная ниша - регулярные и обязательные платежи </w:t>
                  <w:br w:type="textWrapping"/>
                  <w:t xml:space="preserve">→ стабильный прогнозируемый рынок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География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Россия (горизонт 5 лет)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Конкуренты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Сбер, ВТБ, Т Банк (банки-экосистемы), Элекснет, Монета, Моби Деньги, Система Город, CRM для УК (Бурмистр, Домопульт, PayMO)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Рынок поставщиков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~6 000 целевых организаций, подключено 2 000+, в планах на 2026 год 1000+, и далее потенциал 3 000+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Рынок банков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~80 целевых, 49 сейчас, 58 в 2026 (73%), ~20 малых в процессе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heading=h.ipteij457cwm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3.2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Объем рынков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*</w:t>
        </w:r>
      </w:hyperlink>
      <w:r w:rsidDel="00000000" w:rsidR="00000000" w:rsidRPr="00000000">
        <w:rPr>
          <w:rtl w:val="0"/>
        </w:rPr>
      </w:r>
    </w:p>
    <w:tbl>
      <w:tblPr>
        <w:tblStyle w:val="Table7"/>
        <w:tblW w:w="90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9"/>
        <w:gridCol w:w="3008"/>
        <w:gridCol w:w="3008"/>
        <w:tblGridChange w:id="0">
          <w:tblGrid>
            <w:gridCol w:w="3009"/>
            <w:gridCol w:w="3008"/>
            <w:gridCol w:w="30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Рынок / сегмент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Объем рынка (2024)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Доля А3 GMV (2025)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ЖКХ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8 496 млрд ₽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2,12%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Налоги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55 600 млрд ₽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0,02%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Образование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851 млрд ₽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0,06%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Мобильная связь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976 млрд ₽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12,76%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Интернет и ТВ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430 млрд ₽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4,35%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Игры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187 млрд ₽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0,91%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Штрафы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176 млрд ₽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6,1%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Транспорт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150 млрд ₽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1,28%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Пошлины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139 млрд ₽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0,33%</w:t>
            </w:r>
          </w:p>
        </w:tc>
      </w:tr>
    </w:tbl>
    <w:p w:rsidR="00000000" w:rsidDel="00000000" w:rsidP="00000000" w:rsidRDefault="00000000" w:rsidRPr="00000000" w14:paraId="000000A6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lineRule="auto"/>
        <w:rPr>
          <w:rFonts w:ascii="Times New Roman" w:cs="Times New Roman" w:eastAsia="Times New Roman" w:hAnsi="Times New Roman"/>
          <w:b w:val="1"/>
          <w:bCs w:val="1"/>
          <w:color w:val="2e5f8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5f8a"/>
          <w:sz w:val="20"/>
          <w:szCs w:val="20"/>
          <w:rtl w:val="0"/>
        </w:rPr>
        <w:t xml:space="preserve">3.3 Карта конкурентов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А3 оперирует в уникальной нише на стыке инфраструктурных финтех-решений для регулярных платежей. Конкурентное поле формируют косвенные игроки, которые закрывают отдельные сегменты цепочки ценности, но не воспроизводят модель А3 целиком.</w:t>
      </w:r>
    </w:p>
    <w:tbl>
      <w:tblPr>
        <w:tblStyle w:val="Table8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830"/>
        <w:gridCol w:w="1905"/>
        <w:gridCol w:w="1665"/>
        <w:gridCol w:w="1875"/>
        <w:tblGridChange w:id="0">
          <w:tblGrid>
            <w:gridCol w:w="1740"/>
            <w:gridCol w:w="1830"/>
            <w:gridCol w:w="1905"/>
            <w:gridCol w:w="1665"/>
            <w:gridCol w:w="187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d35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Игрок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1d35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Тип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1d35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Зона пересечения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1d35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Уровень угрозы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1d35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Зона уязвимости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Сбер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Банк-экосистема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ЖКХ, подписки, платежи. Собственная инфраструктура оплаты ЖКУ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Высокий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Подписки + HH — уникальный сервис; есть мультибанковская сеть (меньше, чем у А3). Слабый эккаунтинг, медлительность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ВТБ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Банк-экосистема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Платежи, подписки. Развивает собственную инфраструктуру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Высокий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Партнер А3 (9,8% трафика); подписки + HH — уникальный сервис; пока нет мульти банковой сети, медлительность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Т Банк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Банк-экосистема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Платежи, персонализация. Супер Апп с оплатой услуг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b w:val="1"/>
                <w:bCs w:val="1"/>
                <w:color w:val="e67e22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67e22"/>
                <w:sz w:val="20"/>
                <w:szCs w:val="20"/>
                <w:rtl w:val="0"/>
              </w:rPr>
              <w:t xml:space="preserve">Средний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Партнер А3 (6,2% трафика); нет мульти банковой сети, нет планов на ее создание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Монета / Моби Деньги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Платёжные сервисы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Прием онлайн-платежей, ЖКХ, гос. платежи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67e22"/>
                <w:sz w:val="20"/>
                <w:szCs w:val="20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B2C-модель и В2В модель; есть интеграции с ГИС ГМП. Слабый эккаунтинг. 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Элекснет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Платёжный сервис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Прием платежей ЖКХ, Интернета, сотовой связи, игр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b w:val="1"/>
                <w:bCs w:val="1"/>
                <w:color w:val="e67e22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7ae60"/>
                <w:sz w:val="20"/>
                <w:szCs w:val="20"/>
                <w:rtl w:val="0"/>
              </w:rPr>
              <w:t xml:space="preserve">Низкий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Наличие мульти банковской сети; нет доступа к ГИС. Слабвй экаунтинг.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Система Город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Региональный агрегатор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Оплата ЖКХ, локальные поставщики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b w:val="1"/>
                <w:bCs w:val="1"/>
                <w:color w:val="27ae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7ae60"/>
                <w:sz w:val="20"/>
                <w:szCs w:val="20"/>
                <w:rtl w:val="0"/>
              </w:rPr>
              <w:t xml:space="preserve">Низкий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Локальный охват; нет масштаба и технологий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Бурмистр / Домопульт / PayMO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УК / SaaS для ЖКХ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Управление УК, оплата ЖКХ, выставление счетов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b w:val="1"/>
                <w:bCs w:val="1"/>
                <w:color w:val="27ae6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7ae60"/>
                <w:sz w:val="20"/>
                <w:szCs w:val="20"/>
                <w:rtl w:val="0"/>
              </w:rPr>
              <w:t xml:space="preserve">Низкий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Другой слой цепочки; нет процессинга и банковской сети</w:t>
            </w:r>
          </w:p>
        </w:tc>
      </w:tr>
    </w:tbl>
    <w:p w:rsidR="00000000" w:rsidDel="00000000" w:rsidP="00000000" w:rsidRDefault="00000000" w:rsidRPr="00000000" w14:paraId="000000D3">
      <w:pPr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Конкурентные преимущества А3</w:t>
      </w:r>
    </w:p>
    <w:p w:rsidR="00000000" w:rsidDel="00000000" w:rsidP="00000000" w:rsidRDefault="00000000" w:rsidRPr="00000000" w14:paraId="000000D4">
      <w:pPr>
        <w:spacing w:after="80" w:lineRule="auto"/>
        <w:rPr>
          <w:rFonts w:ascii="Times New Roman" w:cs="Times New Roman" w:eastAsia="Times New Roman" w:hAnsi="Times New Roman"/>
          <w:color w:val="44474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Ни один конкурент не воспроизводит модель А3 целиком: мультибанковская сеть (58+ банков) + агрегация поставщиков (2 000+) + прямой доступ к ГИС ГМП, СМЭВ, ГИС ЖКХ. Главные риски — Сбер и ВТБ, которые строят собственную инфраструктуру. Митигация: развитие уникальных технологий (HH, Notification, Poseidon), углубление экосистемы партнерств и запуск РНКО как независимого расчетного центра. Быстрота принятия решений и идеальный эккаунтинг.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3.4 Ключевые рыночные тренды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Персонализация B2B: возможность делать персонализированные офферы и уведомления внутри банковских приложений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Цифровизация платежей: рост доли безналичных и онлайн-платежей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Внедрение AI: автоматизация интеграций, аналитика, персонализация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Цифровой рубль: A3 может занять позицию инфраструктуры цифрового рубля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Регуляторное давление через СМЭВ: толкает игроков к использованию шлюза А3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3.5 Критерии выбора А3 клиентами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Сегмент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Ключевые критерии выбора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Банки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Линейка продуктов для роста сервиса · Количество поставщиков · Стоимость · Качество данных · Доступ к госсистемам · Надёжность инфраструктуры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Поставщики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Количество банков в сети · Стоимость · Надёжность · Скорость интеграции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3.6 SWOT-анализ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3d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spacing w:after="8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Strengths — сильные стороны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44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Уникальная сеть: 58+ банков + тысячи поставщиков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440" w:hanging="22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Доступ к ГИС ГМП, СМЭВ, ГИС ЖКХ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44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Уникальная технология HH/Notification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440" w:hanging="22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AI-интеграция: 5 минут (было 15 дней)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440" w:hanging="22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Churn rate 0% — ни один партнер не ушёл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44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Связанная продуктовая линейка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b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spacing w:after="8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Weaknesses — слабые стороны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44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Концентрация: Альфа-Банк &gt;40% выручки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44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Один расчетный банк — инфраструктурный риск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44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Слабая узнаваемость бренда на рынке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44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Низкое AI-проникновение внутри команды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440" w:hanging="22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Нет формализованной GTM-воронки и SLA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6f1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spacing w:after="8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Opportunities — возможности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44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Новые сегменты: МФО, страхование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44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Монетизация поставщиков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44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-62880917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20"/>
                    <w:szCs w:val="20"/>
                    <w:rtl w:val="0"/>
                  </w:rPr>
                  <w:t xml:space="preserve">Upsell действующим банкам: среднее 1.90 → 3.0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44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Цифровой рубль — занять позицию инфраструктуры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44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РНКО как независимый расчётный центр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440" w:hanging="220"/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А3 Лаб как продуктовая песочница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440" w:hanging="22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Персонализация B2B-уведомлений через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aeed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spacing w:after="8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Threats — угрозы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44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Сбер/ВТБ строят собственную инфраструктуру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440" w:hanging="22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Регуляторные изменения ЦБ (РНКО, платежи)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440" w:hanging="220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Уход ключевых партнеров (ПСБ и др.)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44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Отмена реестра российского ПО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44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AI у конкурентов — потеря техно преимущества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ind w:left="440" w:hanging="22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Ужесточение налоговой политики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4. Go-to-market и продажи</w:t>
      </w:r>
    </w:p>
    <w:p w:rsidR="00000000" w:rsidDel="00000000" w:rsidP="00000000" w:rsidRDefault="00000000" w:rsidRPr="00000000" w14:paraId="00000103">
      <w:pPr>
        <w:pStyle w:val="Heading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4.1 Два сегмента — две модели</w:t>
      </w:r>
    </w:p>
    <w:p w:rsidR="00000000" w:rsidDel="00000000" w:rsidP="00000000" w:rsidRDefault="00000000" w:rsidRPr="00000000" w14:paraId="00000104">
      <w:pPr>
        <w:pStyle w:val="Heading3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Сегмент 1: Поставщики ЖКУ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Объём рынка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~6 000 целевых организаций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Текущая база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2 000+ подключено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Остаток потенциала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~3 000 организаций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Источники лидов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CRM · Файл ГИС ЖКХ · Холодный поиск · Портал ЖКХ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Команда продаж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~10 менеджеров (договоры)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Интеграция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AI: 5 минут (было 15 дней) — аналитики +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Цель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+1 000 новых подключений, итого 3 000+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Цель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+2 000 новых подключений, итого 5 000+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Лаг выхода на объём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~6 месяцев от открытия до стабильного потока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Сегмент 2: Банки-партнёры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Целевой рынок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~80 банков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На борту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-541793723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20"/>
                    <w:szCs w:val="20"/>
                    <w:rtl w:val="0"/>
                  </w:rPr>
                  <w:t xml:space="preserve">49 банков → 58 будет в 2026 (73% рынка)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В процессе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~20 малых банков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5 продажников (новые сделки + upsell) + 5 аккаунт-менеджеров (поддержка)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Путь к клиенту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Департамент развития · Продуктовые команды · Форумы / ивенты · Собственные мероприятия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Churn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0% — ни один банк не ушёл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4.2 Метрики проникновения продуктов в портфель банков</w:t>
      </w:r>
    </w:p>
    <w:tbl>
      <w:tblPr>
        <w:tblStyle w:val="Table13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0"/>
        <w:gridCol w:w="2400"/>
        <w:gridCol w:w="2360"/>
        <w:tblGridChange w:id="0">
          <w:tblGrid>
            <w:gridCol w:w="3600"/>
            <w:gridCol w:w="24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2026 (цель)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Количество партнёров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58 (+18%)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Среднее проникновение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1.47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1.90 (+29%)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Проникновение Топ-10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3.5 (+46%)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Банки 80% дохода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3.5 (+17%)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Банки 20% дохода (хвост)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1.33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1.78 (+34%)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4.3 Account Management</w:t>
      </w:r>
    </w:p>
    <w:p w:rsidR="00000000" w:rsidDel="00000000" w:rsidP="00000000" w:rsidRDefault="00000000" w:rsidRPr="00000000" w14:paraId="0000013F">
      <w:pPr>
        <w:spacing w:after="80" w:before="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Структура: 5 продажников (новые сделки, upsell, стратегические встречи) + 5 аккаунт-менеджеров (операционные вопросы, рутина, поддержка).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80" w:before="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Ритм контактов: регулярные встречи, мероприятия, рассылки. Банки узнают о новых продуктах через менеджера и на встречах.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Приоритеты развития AM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Сегментация портфеля: Топ-10 (ядро) · Средние 20–30 (потенциал) · Хвост (базовое ведение)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Upsell-план: для каждого банка хвоста — конкретный следующий продукт и квартал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sdt>
        <w:sdtPr>
          <w:id w:val="-963134022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color w:val="1a1a1a"/>
              <w:sz w:val="20"/>
              <w:szCs w:val="20"/>
              <w:rtl w:val="0"/>
            </w:rPr>
            <w:t xml:space="preserve">Аккаунты как радар: чеклист сигналов готовности к upsell → передача лида продажнику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NPS / Health Score: внедряется через маркетинг-департамент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SLA-прозрачность: автоуведомления из Jira о статусе заявки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4.4 Customer Journey поставщика</w:t>
      </w:r>
    </w:p>
    <w:tbl>
      <w:tblPr>
        <w:tblStyle w:val="Table14"/>
        <w:tblW w:w="8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9"/>
        <w:gridCol w:w="1701"/>
        <w:gridCol w:w="5860"/>
        <w:tblGridChange w:id="0">
          <w:tblGrid>
            <w:gridCol w:w="1399"/>
            <w:gridCol w:w="1701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01. Лид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Работает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CRM / ГИС ЖКХ / холодный поиск / портал ЖКХ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02. Договор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Работает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-826957617"/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20"/>
                    <w:szCs w:val="20"/>
                    <w:rtl w:val="0"/>
                  </w:rPr>
                  <w:t xml:space="preserve">~10 менеджеров · AmoCRM → ELMA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03. Интеграция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Конкур. преим.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AI: 5 минут · аналитики +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04. Открытие банками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Самостоятельное открытие банками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Банки сами решают срок открытия 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внедряем систему для активного открытия: автоуведомления банков о новых поставщиках, Quarterly report банку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05. Выход на объём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6 мес. лаг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~6 месяцев от открытия до нормального платежного потока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06. Поддержка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Улучшить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1608915160"/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20"/>
                    <w:szCs w:val="20"/>
                    <w:rtl w:val="0"/>
                  </w:rPr>
                  <w:t xml:space="preserve">Проблемы → Jira. Нет SLA-прозрачности для партнёра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07. Метрики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В процессе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NPS/CSAT внедряется.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5. Продуктовый роадмап 2026</w:t>
      </w:r>
    </w:p>
    <w:p w:rsidR="00000000" w:rsidDel="00000000" w:rsidP="00000000" w:rsidRDefault="00000000" w:rsidRPr="00000000" w14:paraId="00000165">
      <w:pPr>
        <w:pStyle w:val="Heading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5.1 Транзакционные продукты (Poseidon / Платежный ОД)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Квартал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Ключевые задачи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Q1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Poseidon в проде: ОТП, Т-Банк · Poseidon покрывает 80% поставщиков А3 · Запуск HH/Notification: Совкомбанк (HH) · A3 СМЭВ ХАБ: интеграция с Kili · 175 договоров с поставщиками · SaaS договоры: Т Банк, ГПБ, Альфа Банк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Q2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HH/Notification: Т Банк, Яндекс, ГПБ, ВТБ · СМЭВ ХАБ: скидочная подписка, партнёры МПП/Росштрафы/ВТБ/Т Банк/ГПБ/Райф · 225 договоров с поставщиками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Q3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Расширение Poseidon · Масштабирование HH/Notification · Тестовая среда для партнёров · Переход на ВС 2.7.0 (ГИС ГМП) · 280 договоров с поставщиками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Q4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Подготовка к налоговому периоду · Система автоматизированной сверки · Масштабирование по всем партнёрам · 305 договоров с поставщиками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spacing w:after="80" w:before="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f5e5a"/>
          <w:sz w:val="20"/>
          <w:szCs w:val="20"/>
          <w:rtl w:val="0"/>
        </w:rPr>
        <w:t xml:space="preserve">Цели по Poseidon: 6+ партнёров в промышленном использовании · 7 проверенных гипотез · Uptime 99.95% · К 2030: Uptime 99.97%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5.2 Нетранзакционные продукты (IC)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1200"/>
        <w:gridCol w:w="6160"/>
        <w:tblGridChange w:id="0">
          <w:tblGrid>
            <w:gridCol w:w="2000"/>
            <w:gridCol w:w="1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Направление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Квартал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Подписки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Q1–Q2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Мега Агрегатор ГИС ГМП (дискавери) · Шэринг подписок (СМЭВ) · Household ВТБ · Kili: перевод подписок Альфы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Подписки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-1998946894"/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20"/>
                    <w:szCs w:val="20"/>
                    <w:rtl w:val="0"/>
                  </w:rPr>
                  <w:t xml:space="preserve">ГИС ЖКХ → 100% поставщиков в HouseHold · +258 прямых интеграций · Заморозка подписок (Альфа) · ГПБ HH · Совком/Синара/Яндекс Notification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Подписки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ГИС ЖКХ прямые подписки · +281 интеграций · Wildberries Банк · Синара HouseHold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Новые доходы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Q1–Q2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Страховки при платеже (аналитика) · A3.Reports (поиск клиентов) · Счётчики — пилот с Альфой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Новые доходы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Доставка инвойсов без подписки (после R&amp;D дискавери в Q2)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Новые доходы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A3.Report v2 (асинхронное взаимодействие) · Счётчики ГИС ЖКХ (если готовы)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Устойчивость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Q1–Q2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PA_Service (система доступов) · Система лимитов (апрель) · Биллинг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Устойчивость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-283103626"/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20"/>
                    <w:szCs w:val="20"/>
                    <w:rtl w:val="0"/>
                  </w:rPr>
                  <w:t xml:space="preserve">Invoice-Core → микросервисы · Тестовая среда для партнёров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Устойчивость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Автоматизированная сверка подписок · Налоговый период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Финансовые цели не транзакционного направления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2400"/>
        <w:gridCol w:w="4760"/>
        <w:tblGridChange w:id="0">
          <w:tblGrid>
            <w:gridCol w:w="2200"/>
            <w:gridCol w:w="2400"/>
            <w:gridCol w:w="4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Квартал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Доход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Нарастающий итог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Q1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104.3 млн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104.3 млн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Q2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111.3 млн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215.6 млн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Q3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119.0 млн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334.6 млн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Q4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135.7 млн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470.3 млн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Итого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470.3 млн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80% законтрактовано (376.2 млн 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Цель 2030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~3 000 млн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Органический рост (45%) + регуляторный буст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5.3 R&amp;D новые продукты</w:t>
      </w:r>
    </w:p>
    <w:p w:rsidR="00000000" w:rsidDel="00000000" w:rsidP="00000000" w:rsidRDefault="00000000" w:rsidRPr="00000000" w14:paraId="000001AC">
      <w:pPr>
        <w:spacing w:after="80" w:before="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Цель: построить системный пайплайн проверки гипотез и новых продуктов для роста выручки и диверсификации бизнеса А3.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sdt>
        <w:sdtPr>
          <w:id w:val="-1331943128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color w:val="1a1a1a"/>
              <w:sz w:val="20"/>
              <w:szCs w:val="20"/>
              <w:rtl w:val="0"/>
            </w:rPr>
            <w:t xml:space="preserve">Воронка: 50 идей/год → 10–15 проверенных гипотез → 3–4 сильных инициативы → 1–2 MVP → 1 масштабируемый продукт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Процесс Double Diamond запущен, первые инициативы в работе: МФО в процессе оплаты ЖКУ, A3.pay (account2account платежи), сбор задолженностей ЖКУ.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Банк идей = единый бэклог, синхронизирован с Jira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ICE-приоритизация со стейкхолдерами раз в 2 недели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Юнит-экономика: по поставщикам/интеграциям, по партнёрам, по продуктовым направлениям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1a1a1a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Инициатива: Инфраструктура цифрового рубля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firstLine="0"/>
        <w:rPr>
          <w:rFonts w:ascii="Times New Roman" w:cs="Times New Roman" w:eastAsia="Times New Roman" w:hAnsi="Times New Roman"/>
          <w:color w:val="1a1a1a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Q2 2026 (Discovery):</w:t>
        <w:br w:type="textWrapping"/>
        <w:t xml:space="preserve">• Анализ архитектуры платформы цифрового рубля ЦБ</w:t>
        <w:br w:type="textWrapping"/>
        <w:t xml:space="preserve">• Определение роли А3: оператор расчетов через РНКО? Шлюз между цифровым рублём и ЖКХ-платежами?</w:t>
        <w:br w:type="textWrapping"/>
        <w:t xml:space="preserve">• Встречи с ЦБ и банками-партнерами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1a1a1a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Q3 2026 (Proof of Concept):</w:t>
        <w:br w:type="textWrapping"/>
        <w:t xml:space="preserve">• Техническое прототипирование с командой Payments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1a1a1a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Q4 2026 — Пилот:</w:t>
        <w:br w:type="textWrapping"/>
        <w:t xml:space="preserve">• Пилотный запуск с ограниченным объемом</w:t>
        <w:br w:type="textWrapping"/>
        <w:t xml:space="preserve">• Тестирование с 1 банком-партнером</w:t>
        <w:br w:type="textWrapping"/>
        <w:t xml:space="preserve">• Оценка unit-экономики и масштабируемости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6. Устойчивость и инфраструктура</w:t>
      </w:r>
    </w:p>
    <w:p w:rsidR="00000000" w:rsidDel="00000000" w:rsidP="00000000" w:rsidRDefault="00000000" w:rsidRPr="00000000" w14:paraId="000001B8">
      <w:pPr>
        <w:pStyle w:val="Heading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6.1 РНКО — получение лицензии</w:t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Срок / 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Регистрация и активация ЛК в ЦБ РФ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Q1 2026 — выполнено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Согласование наименования РНКО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Q1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Подготовка документов, Совет директоров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Февраль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Подача документов в ЦБ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18.02.2026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Регистрация юридического лица РНКО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Q2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Получение лицензии ЦБ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Q2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Открытие корреспондентского счета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Q3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Запуск операций с первым партнёром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Q4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spacing w:after="80" w:before="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Критерий успеха 2026: 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РНКО с лицензией, открытым корр. счетом и запущенными операциями у 1+ партнёра.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80" w:before="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Сценарий задержки на год: замедлит рост и оптимизацию НДС, не создает критического риска — потребует корректировки стратегии.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80" w:before="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Сценарий отказа в лицензии: пересборка — отказ от РНКО либо покупка готового. Альтернативы есть.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6.2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Второй ЦОД и ЯндексОблако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0"/>
          <w:szCs w:val="20"/>
          <w:rtl w:val="0"/>
        </w:rPr>
        <w:t xml:space="preserve">Q1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Подписание контракта с РТКом на 2-й ЦОД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Подписание контракта с ЯндексОблаком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Сетевая коммутация между ЦОДами и ЯндексОблаком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Монтаж оборудования во 2-м ЦОДе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Запуск Poseidon в ЯндексОблаке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color w:val="1a1a1a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0"/>
          <w:szCs w:val="20"/>
          <w:rtl w:val="0"/>
        </w:rPr>
        <w:t xml:space="preserve">Q2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afterAutospacing="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Перевод всех партнеров на автономный режим работы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spacing w:after="0" w:afterAutospacing="0" w:before="40" w:beforeAutospacing="0" w:lineRule="auto"/>
        <w:ind w:left="600" w:hanging="30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Перенастройка сетей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spacing w:after="0" w:afterAutospacing="0" w:before="0" w:beforeAutospacing="0" w:lineRule="auto"/>
        <w:ind w:left="600" w:hanging="30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Выделение серверов под реплики БД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spacing w:after="0" w:afterAutospacing="0" w:before="0" w:beforeAutospacing="0" w:lineRule="auto"/>
        <w:ind w:left="600" w:hanging="30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k8s pci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spacing w:after="0" w:afterAutospacing="0" w:before="0" w:beforeAutospacing="0" w:lineRule="auto"/>
        <w:ind w:left="600" w:hanging="30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k8s invoice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spacing w:after="0" w:afterAutospacing="0" w:before="0" w:beforeAutospacing="0" w:lineRule="auto"/>
        <w:ind w:left="600" w:hanging="30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Перенос hadoop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spacing w:after="0" w:afterAutospacing="0" w:before="0" w:beforeAutospacing="0" w:lineRule="auto"/>
        <w:ind w:left="600" w:hanging="30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Решение проблемы с кросс-цодовой генерацией id транзакции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spacing w:after="40" w:before="0" w:beforeAutospacing="0" w:lineRule="auto"/>
        <w:ind w:left="600" w:hanging="30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Перевод всех партнеров на автономку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0" w:firstLine="0"/>
        <w:rPr>
          <w:rFonts w:ascii="Times New Roman" w:cs="Times New Roman" w:eastAsia="Times New Roman" w:hAnsi="Times New Roman"/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6.3 SaaS-перевод и снижение НДС</w:t>
      </w:r>
    </w:p>
    <w:p w:rsidR="00000000" w:rsidDel="00000000" w:rsidP="00000000" w:rsidRDefault="00000000" w:rsidRPr="00000000" w14:paraId="000001E4">
      <w:pPr>
        <w:spacing w:after="80" w:before="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Цель: НДС от общей выручки не превышает 10%.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Партнер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Альфа-Банк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Договор SaaS подписан · ДС на перевод комиссии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Т Банк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Договор SaaS · ДС на перевод комиссии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ГПБ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Договор SaaS · ДС на перевод комиссии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Райффайзенбанк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ДС на перевод комиссии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Яндекс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ДС на перевод комиссии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Создание продукта (робота) на А3 Лаб по формированию п/п для АБС РНКО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Q4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spacing w:after="80" w:before="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Риск: отмена реестра 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российского ПО — 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потеря налоговой льготы по НДС, потеря около 150М в год.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6.4 Аналитика и автоматизация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ClickHouse: аналитическая БД — архитектура создана и тестируется в Q1-Q2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Онбординг поставщика: снижение трудозатрат на 25% vs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Автоматизация договоров: 75% договоров без ручного ввода (через ELMA)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Zero Handover: устранение потерь данных при передаче из AmoCRM в ELMA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7. Финансовая модель 2026</w:t>
      </w:r>
    </w:p>
    <w:p w:rsidR="00000000" w:rsidDel="00000000" w:rsidP="00000000" w:rsidRDefault="00000000" w:rsidRPr="00000000" w14:paraId="000001FD">
      <w:pPr>
        <w:pStyle w:val="Heading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7.1 P&amp;L — ключевые показатели</w:t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Показатель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Значение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Выручка с НДС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2 691 млн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Выручка без НДС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2 386 млн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Транзакционный доход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1 598 млн ₽ (60%)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Нетранзакционный доход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1 093 млн ₽ (40%)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Валовая прибыль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1 495 млн ₽ (маржа ~50%)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Операционная прибыль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1 184 млн ₽ (рент. продаж ~50%)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Чистая прибыль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767 млн ₽ (рент. ~32%)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EBITDA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~1 128–1 163 млн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НДС к уплате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~276 млн ₽ / год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heading=h.x5x4wvdxqozz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7.1 P&amp;L — альтернативный расчет</w:t>
      </w:r>
    </w:p>
    <w:sdt>
      <w:sdtPr>
        <w:lock w:val="contentLocked"/>
        <w:id w:val="1730480137"/>
        <w:tag w:val="goog_rdk_11"/>
      </w:sdtPr>
      <w:sdtContent>
        <w:tbl>
          <w:tblPr>
            <w:tblStyle w:val="Table21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200"/>
            <w:gridCol w:w="6160"/>
            <w:tblGridChange w:id="0">
              <w:tblGrid>
                <w:gridCol w:w="3200"/>
                <w:gridCol w:w="6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1d3557" w:val="clear"/>
                <w:tcMar>
                  <w:top w:w="100.0" w:type="dxa"/>
                  <w:left w:w="140.0" w:type="dxa"/>
                  <w:bottom w:w="100.0" w:type="dxa"/>
                  <w:right w:w="140.0" w:type="dxa"/>
                </w:tcMar>
              </w:tcPr>
              <w:p w:rsidR="00000000" w:rsidDel="00000000" w:rsidP="00000000" w:rsidRDefault="00000000" w:rsidRPr="00000000" w14:paraId="00000214">
                <w:pPr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Показатель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1d3557" w:val="clear"/>
                <w:tcMar>
                  <w:top w:w="100.0" w:type="dxa"/>
                  <w:left w:w="140.0" w:type="dxa"/>
                  <w:bottom w:w="100.0" w:type="dxa"/>
                  <w:right w:w="140.0" w:type="dxa"/>
                </w:tcMar>
              </w:tcPr>
              <w:p w:rsidR="00000000" w:rsidDel="00000000" w:rsidP="00000000" w:rsidRDefault="00000000" w:rsidRPr="00000000" w14:paraId="00000215">
                <w:pPr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Значение 2026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40.0" w:type="dxa"/>
                  <w:bottom w:w="100.0" w:type="dxa"/>
                  <w:right w:w="140.0" w:type="dxa"/>
                </w:tcMar>
              </w:tcPr>
              <w:p w:rsidR="00000000" w:rsidDel="00000000" w:rsidP="00000000" w:rsidRDefault="00000000" w:rsidRPr="00000000" w14:paraId="00000216">
                <w:pPr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1a"/>
                    <w:sz w:val="20"/>
                    <w:szCs w:val="20"/>
                    <w:rtl w:val="0"/>
                  </w:rPr>
                  <w:t xml:space="preserve">Выручка с НДС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40.0" w:type="dxa"/>
                  <w:bottom w:w="100.0" w:type="dxa"/>
                  <w:right w:w="140.0" w:type="dxa"/>
                </w:tcMar>
              </w:tcPr>
              <w:p w:rsidR="00000000" w:rsidDel="00000000" w:rsidP="00000000" w:rsidRDefault="00000000" w:rsidRPr="00000000" w14:paraId="00000217">
                <w:pPr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1a"/>
                    <w:sz w:val="20"/>
                    <w:szCs w:val="20"/>
                    <w:rtl w:val="0"/>
                  </w:rPr>
                  <w:t xml:space="preserve">2 433 млн ₽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7fa" w:val="clear"/>
                <w:tcMar>
                  <w:top w:w="100.0" w:type="dxa"/>
                  <w:left w:w="140.0" w:type="dxa"/>
                  <w:bottom w:w="100.0" w:type="dxa"/>
                  <w:right w:w="140.0" w:type="dxa"/>
                </w:tcMar>
              </w:tcPr>
              <w:p w:rsidR="00000000" w:rsidDel="00000000" w:rsidP="00000000" w:rsidRDefault="00000000" w:rsidRPr="00000000" w14:paraId="00000218">
                <w:pPr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1a"/>
                    <w:sz w:val="20"/>
                    <w:szCs w:val="20"/>
                    <w:rtl w:val="0"/>
                  </w:rPr>
                  <w:t xml:space="preserve">Выручка без НДС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7fa" w:val="clear"/>
                <w:tcMar>
                  <w:top w:w="100.0" w:type="dxa"/>
                  <w:left w:w="140.0" w:type="dxa"/>
                  <w:bottom w:w="100.0" w:type="dxa"/>
                  <w:right w:w="140.0" w:type="dxa"/>
                </w:tcMar>
              </w:tcPr>
              <w:p w:rsidR="00000000" w:rsidDel="00000000" w:rsidP="00000000" w:rsidRDefault="00000000" w:rsidRPr="00000000" w14:paraId="00000219">
                <w:pPr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1a"/>
                    <w:sz w:val="20"/>
                    <w:szCs w:val="20"/>
                    <w:rtl w:val="0"/>
                  </w:rPr>
                  <w:t xml:space="preserve">2 122 млн ₽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40.0" w:type="dxa"/>
                  <w:bottom w:w="100.0" w:type="dxa"/>
                  <w:right w:w="140.0" w:type="dxa"/>
                </w:tcMar>
              </w:tcPr>
              <w:p w:rsidR="00000000" w:rsidDel="00000000" w:rsidP="00000000" w:rsidRDefault="00000000" w:rsidRPr="00000000" w14:paraId="0000021A">
                <w:pPr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1a"/>
                    <w:sz w:val="20"/>
                    <w:szCs w:val="20"/>
                    <w:rtl w:val="0"/>
                  </w:rPr>
                  <w:t xml:space="preserve">Транзакционный доход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40.0" w:type="dxa"/>
                  <w:bottom w:w="100.0" w:type="dxa"/>
                  <w:right w:w="140.0" w:type="dxa"/>
                </w:tcMar>
              </w:tcPr>
              <w:p w:rsidR="00000000" w:rsidDel="00000000" w:rsidP="00000000" w:rsidRDefault="00000000" w:rsidRPr="00000000" w14:paraId="0000021B">
                <w:pPr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1a"/>
                    <w:sz w:val="20"/>
                    <w:szCs w:val="20"/>
                    <w:rtl w:val="0"/>
                  </w:rPr>
                  <w:t xml:space="preserve">1 963 млн ₽ (81%)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7fa" w:val="clear"/>
                <w:tcMar>
                  <w:top w:w="100.0" w:type="dxa"/>
                  <w:left w:w="140.0" w:type="dxa"/>
                  <w:bottom w:w="100.0" w:type="dxa"/>
                  <w:right w:w="140.0" w:type="dxa"/>
                </w:tcMar>
              </w:tcPr>
              <w:p w:rsidR="00000000" w:rsidDel="00000000" w:rsidP="00000000" w:rsidRDefault="00000000" w:rsidRPr="00000000" w14:paraId="0000021C">
                <w:pPr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1a"/>
                    <w:sz w:val="20"/>
                    <w:szCs w:val="20"/>
                    <w:rtl w:val="0"/>
                  </w:rPr>
                  <w:t xml:space="preserve">Нетранзакционный доход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7fa" w:val="clear"/>
                <w:tcMar>
                  <w:top w:w="100.0" w:type="dxa"/>
                  <w:left w:w="140.0" w:type="dxa"/>
                  <w:bottom w:w="100.0" w:type="dxa"/>
                  <w:right w:w="140.0" w:type="dxa"/>
                </w:tcMar>
              </w:tcPr>
              <w:p w:rsidR="00000000" w:rsidDel="00000000" w:rsidP="00000000" w:rsidRDefault="00000000" w:rsidRPr="00000000" w14:paraId="0000021D">
                <w:pPr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1a"/>
                    <w:sz w:val="20"/>
                    <w:szCs w:val="20"/>
                    <w:rtl w:val="0"/>
                  </w:rPr>
                  <w:t xml:space="preserve">470 млн ₽ (19%)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40.0" w:type="dxa"/>
                  <w:bottom w:w="100.0" w:type="dxa"/>
                  <w:right w:w="140.0" w:type="dxa"/>
                </w:tcMar>
              </w:tcPr>
              <w:p w:rsidR="00000000" w:rsidDel="00000000" w:rsidP="00000000" w:rsidRDefault="00000000" w:rsidRPr="00000000" w14:paraId="0000021E">
                <w:pPr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1a"/>
                    <w:sz w:val="20"/>
                    <w:szCs w:val="20"/>
                    <w:rtl w:val="0"/>
                  </w:rPr>
                  <w:t xml:space="preserve">Валовая прибыль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40.0" w:type="dxa"/>
                  <w:bottom w:w="100.0" w:type="dxa"/>
                  <w:right w:w="140.0" w:type="dxa"/>
                </w:tcMar>
              </w:tcPr>
              <w:p w:rsidR="00000000" w:rsidDel="00000000" w:rsidP="00000000" w:rsidRDefault="00000000" w:rsidRPr="00000000" w14:paraId="0000021F">
                <w:pPr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1a"/>
                    <w:sz w:val="20"/>
                    <w:szCs w:val="20"/>
                    <w:rtl w:val="0"/>
                  </w:rPr>
                  <w:t xml:space="preserve">1 352 млн ₽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7fa" w:val="clear"/>
                <w:tcMar>
                  <w:top w:w="100.0" w:type="dxa"/>
                  <w:left w:w="140.0" w:type="dxa"/>
                  <w:bottom w:w="100.0" w:type="dxa"/>
                  <w:right w:w="140.0" w:type="dxa"/>
                </w:tcMar>
              </w:tcPr>
              <w:p w:rsidR="00000000" w:rsidDel="00000000" w:rsidP="00000000" w:rsidRDefault="00000000" w:rsidRPr="00000000" w14:paraId="00000220">
                <w:pPr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1a"/>
                    <w:sz w:val="20"/>
                    <w:szCs w:val="20"/>
                    <w:rtl w:val="0"/>
                  </w:rPr>
                  <w:t xml:space="preserve">Операционная прибыль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7fa" w:val="clear"/>
                <w:tcMar>
                  <w:top w:w="100.0" w:type="dxa"/>
                  <w:left w:w="140.0" w:type="dxa"/>
                  <w:bottom w:w="100.0" w:type="dxa"/>
                  <w:right w:w="140.0" w:type="dxa"/>
                </w:tcMar>
              </w:tcPr>
              <w:p w:rsidR="00000000" w:rsidDel="00000000" w:rsidP="00000000" w:rsidRDefault="00000000" w:rsidRPr="00000000" w14:paraId="00000221">
                <w:pPr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1a"/>
                    <w:sz w:val="20"/>
                    <w:szCs w:val="20"/>
                    <w:rtl w:val="0"/>
                  </w:rPr>
                  <w:t xml:space="preserve">1 070 млн ₽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40.0" w:type="dxa"/>
                  <w:bottom w:w="100.0" w:type="dxa"/>
                  <w:right w:w="140.0" w:type="dxa"/>
                </w:tcMar>
              </w:tcPr>
              <w:p w:rsidR="00000000" w:rsidDel="00000000" w:rsidP="00000000" w:rsidRDefault="00000000" w:rsidRPr="00000000" w14:paraId="00000222">
                <w:pPr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1a"/>
                    <w:sz w:val="20"/>
                    <w:szCs w:val="20"/>
                    <w:rtl w:val="0"/>
                  </w:rPr>
                  <w:t xml:space="preserve">Чистая прибыль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40.0" w:type="dxa"/>
                  <w:bottom w:w="100.0" w:type="dxa"/>
                  <w:right w:w="140.0" w:type="dxa"/>
                </w:tcMar>
              </w:tcPr>
              <w:p w:rsidR="00000000" w:rsidDel="00000000" w:rsidP="00000000" w:rsidRDefault="00000000" w:rsidRPr="00000000" w14:paraId="00000223">
                <w:pPr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1a"/>
                    <w:sz w:val="20"/>
                    <w:szCs w:val="20"/>
                    <w:rtl w:val="0"/>
                  </w:rPr>
                  <w:t xml:space="preserve">693 млн ₽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7fa" w:val="clear"/>
                <w:tcMar>
                  <w:top w:w="100.0" w:type="dxa"/>
                  <w:left w:w="140.0" w:type="dxa"/>
                  <w:bottom w:w="100.0" w:type="dxa"/>
                  <w:right w:w="140.0" w:type="dxa"/>
                </w:tcMar>
              </w:tcPr>
              <w:p w:rsidR="00000000" w:rsidDel="00000000" w:rsidP="00000000" w:rsidRDefault="00000000" w:rsidRPr="00000000" w14:paraId="00000224">
                <w:pPr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1a"/>
                    <w:sz w:val="20"/>
                    <w:szCs w:val="20"/>
                    <w:rtl w:val="0"/>
                  </w:rPr>
                  <w:t xml:space="preserve">EBITDA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5f7fa" w:val="clear"/>
                <w:tcMar>
                  <w:top w:w="100.0" w:type="dxa"/>
                  <w:left w:w="140.0" w:type="dxa"/>
                  <w:bottom w:w="100.0" w:type="dxa"/>
                  <w:right w:w="140.0" w:type="dxa"/>
                </w:tcMar>
              </w:tcPr>
              <w:p w:rsidR="00000000" w:rsidDel="00000000" w:rsidP="00000000" w:rsidRDefault="00000000" w:rsidRPr="00000000" w14:paraId="00000225">
                <w:pPr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1a"/>
                    <w:sz w:val="20"/>
                    <w:szCs w:val="20"/>
                    <w:rtl w:val="0"/>
                  </w:rPr>
                  <w:t xml:space="preserve">1 020 млн ₽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40.0" w:type="dxa"/>
                  <w:bottom w:w="100.0" w:type="dxa"/>
                  <w:right w:w="140.0" w:type="dxa"/>
                </w:tcMar>
              </w:tcPr>
              <w:p w:rsidR="00000000" w:rsidDel="00000000" w:rsidP="00000000" w:rsidRDefault="00000000" w:rsidRPr="00000000" w14:paraId="00000226">
                <w:pPr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1a"/>
                    <w:sz w:val="20"/>
                    <w:szCs w:val="20"/>
                    <w:rtl w:val="0"/>
                  </w:rPr>
                  <w:t xml:space="preserve">НДС к уплате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100.0" w:type="dxa"/>
                  <w:left w:w="140.0" w:type="dxa"/>
                  <w:bottom w:w="100.0" w:type="dxa"/>
                  <w:right w:w="140.0" w:type="dxa"/>
                </w:tcMar>
              </w:tcPr>
              <w:p w:rsidR="00000000" w:rsidDel="00000000" w:rsidP="00000000" w:rsidRDefault="00000000" w:rsidRPr="00000000" w14:paraId="00000227">
                <w:pPr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1a1a1a"/>
                    <w:sz w:val="20"/>
                    <w:szCs w:val="20"/>
                    <w:rtl w:val="0"/>
                  </w:rPr>
                  <w:t xml:space="preserve">311 млн ₽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28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7.2 Квартальный профиль</w:t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2200"/>
        <w:gridCol w:w="5360"/>
        <w:tblGridChange w:id="0">
          <w:tblGrid>
            <w:gridCol w:w="1800"/>
            <w:gridCol w:w="22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Квартал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Выручка б/НДС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Чистая прибыль (от выручки)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Q1 (янв–мар)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490 млн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149 млн ₽ (30%)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Q2 (апр–июн)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561 млн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223 млн ₽ (40%)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Q3 (июл–сен)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624 млн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258 млн ₽ (41%) — минус в сентябре из-за взноса РНКО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Q4 (окт–дек)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711 млн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284 млн ₽ (40%)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2 386 млн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767 млн ₽ (32%)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spacing w:after="80" w:before="60" w:lineRule="auto"/>
        <w:rPr>
          <w:rFonts w:ascii="Times New Roman" w:cs="Times New Roman" w:eastAsia="Times New Roman" w:hAnsi="Times New Roman"/>
          <w:i w:val="1"/>
          <w:iCs w:val="1"/>
          <w:color w:val="5f5e5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80" w:before="60" w:lineRule="auto"/>
        <w:rPr>
          <w:rFonts w:ascii="Times New Roman" w:cs="Times New Roman" w:eastAsia="Times New Roman" w:hAnsi="Times New Roman"/>
          <w:i w:val="1"/>
          <w:iCs w:val="1"/>
          <w:color w:val="5f5e5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heading=h.kw19rhar33vl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7.2 Квартальный профиль - альтернативный расчет</w:t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2200"/>
        <w:gridCol w:w="5360"/>
        <w:tblGridChange w:id="0">
          <w:tblGrid>
            <w:gridCol w:w="1800"/>
            <w:gridCol w:w="22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Квартал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Выручка б/НДС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EBITDA (от выручки)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Q1 (янв–мар)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436 млн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199 млн ₽ (46%)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Q2 (апр–июн)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499 млн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242 млн ₽ (49%)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Q3 (июл–сен)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555 млн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271 млн ₽ (49%)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Q4 (окт–дек)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632 млн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315 млн ₽ (50%)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2122 млн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1020 млн ₽ (48%)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2">
      <w:pPr>
        <w:spacing w:after="80" w:before="60" w:lineRule="auto"/>
        <w:rPr>
          <w:rFonts w:ascii="Times New Roman" w:cs="Times New Roman" w:eastAsia="Times New Roman" w:hAnsi="Times New Roman"/>
          <w:i w:val="1"/>
          <w:iCs w:val="1"/>
          <w:color w:val="5f5e5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7.3 Структура расходов</w:t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Статья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Год, млн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ФОТ производство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652 млн (27% выручки)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СМЭВ (квартальные платежи)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120 млн (5%)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ГИС ЖКХ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67 млн (3%)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Аренда ЦОД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14 млн (0.6%)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Инвестиции в оборудование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105 млн (4%) — пик в Q2–Q3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РНКО — взнос в УК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120 млн (5%) — разовый, Q3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Маркетинг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37 млн (1.5%) — рост ×4 vs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АУР (офис, HR, юрид.)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101 млн (4%)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Итого расходы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~1 319 млн (55%)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9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7.4 Финансовые риски</w:t>
      </w:r>
    </w:p>
    <w:p w:rsidR="00000000" w:rsidDel="00000000" w:rsidP="00000000" w:rsidRDefault="00000000" w:rsidRPr="00000000" w14:paraId="0000026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Сентябрь — взнос РНКО: контролируемо при наличии кэш-позиции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Отмена льготы по страховым взносам с 01.07: +13 млн к ФОТ, снижение ЧП на ~1.7 п.п.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СМЭВ — концентрация платежей в Q1/Q2/Q3/Q4: требует планирования cashflow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8. Маркетинг и ребрендинг</w:t>
      </w:r>
    </w:p>
    <w:p w:rsidR="00000000" w:rsidDel="00000000" w:rsidP="00000000" w:rsidRDefault="00000000" w:rsidRPr="00000000" w14:paraId="00000271">
      <w:pPr>
        <w:pStyle w:val="Heading2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8.1 Стратегические цели маркетинга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Аудит метрик бренда: узнаваемость, лояльность ЦА поставщиков и банков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Согласование стратегии маркетинга 2026–2028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1a1a1a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Согласование бренд стратегии 2026–2028</w:t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Годовой отчет для внешней среды и БРИО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8.2 Ребрендинг А3 — дорожная карта</w:t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55"/>
        <w:gridCol w:w="7605"/>
        <w:tblGridChange w:id="0">
          <w:tblGrid>
            <w:gridCol w:w="1755"/>
            <w:gridCol w:w="7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Квартал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Аудит текущего позиционирования · Формирование команды ребрендинга · Старт работ по бренд-стратегии · Найм: продуктовый маркетолог + директор по стратегическим коммуникациям (PR)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Создание бренд-стратегии: DNA, архитектура, позиционирование, ToV · Создание айдентики: лого, шрифты, цвета · Анализ продуктовой линейки, нейминг (русификация)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Запуск сайта РНКО · Запуск сайта А3 Лаб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Полноценное внедрение новой айдентики · Оценка результатов ребрендинга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2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8.3 Риски маркетинга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Снижение устойчивости бренда А3 из-за сокращения работы с ПСБ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9. Команда и внутренние коммуникации</w:t>
      </w:r>
    </w:p>
    <w:p w:rsidR="00000000" w:rsidDel="00000000" w:rsidP="00000000" w:rsidRDefault="00000000" w:rsidRPr="00000000" w14:paraId="00000288">
      <w:pPr>
        <w:pStyle w:val="Heading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9.1 Структура команды</w:t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Показатель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Общий ФОТ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~700 млн ₽ / год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Численность (основные)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~138 сотрудников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Открытых вакансий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Команда по банкам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5 продажников + 5 аккаунт-менеджеров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Команда по поставщикам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~10 менеджеров интеграции и сопровождения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5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9.2 Развитие внутренних коммуникаций</w:t>
      </w:r>
    </w:p>
    <w:p w:rsidR="00000000" w:rsidDel="00000000" w:rsidP="00000000" w:rsidRDefault="00000000" w:rsidRPr="00000000" w14:paraId="0000029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Еженедельная встреча каждый 2й четверг для всех участников страт-сессии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Минимум 2–3 обучения для руководителей в год, 1 из них — в Q1. Стратегия развития ТОП-команды, привлечение коучей, психологов, менторов. Активное использование инструментов 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Тимбилдинг после каждой квартальной страт-сессии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Назначить ответственного за мониторинг внешней ситуации (чёрные/белые лебеди)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9.3 Критерии успеха</w:t>
      </w:r>
    </w:p>
    <w:p w:rsidR="00000000" w:rsidDel="00000000" w:rsidP="00000000" w:rsidRDefault="00000000" w:rsidRPr="00000000" w14:paraId="0000029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Результаты опроса удовлетворенности коммуникацией среди топов: 90%+ (высокие)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Глобальная цель 2030: работающая, прозрачная коммуникационная система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10. Риски и митигация</w:t>
      </w:r>
    </w:p>
    <w:tbl>
      <w:tblPr>
        <w:tblStyle w:val="Table27"/>
        <w:tblW w:w="9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69"/>
        <w:gridCol w:w="1570"/>
        <w:gridCol w:w="5021"/>
        <w:tblGridChange w:id="0">
          <w:tblGrid>
            <w:gridCol w:w="2969"/>
            <w:gridCol w:w="1570"/>
            <w:gridCol w:w="502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Вероятность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Митигация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Сбер/ВТБ строят собственную инфраструктуру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Средняя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Развитие уникальных технологий (HH, Notification), углубление экосистемы партнёрств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Регуляторные изменения ЦБ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Средняя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Проактивный мониторинг, РНКО как инструмент независимости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Уход ключевых партнеров (ПСБ и др.)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Низкая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Диверсификация: цель доля Альфы &lt;40%, рост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Т Банк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 / ВТБ / Совкомбанк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Отмена реестра российского ПО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Средняя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Альтернативные модели налоговой оптимизации, SaaS-структура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AI у конкурентов — потеря техно преимущества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Средняя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Инвестиции в AI внутри команды, R&amp;D фабрика гипотез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Ужесточение налоговой политики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Средняя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Сценарий с отменой льготы по ФОТ уже заложен в бюджет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Задержка РНКО на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Средняя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Скорректировать стратегию, не менять — альтернативы есть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Рост негатива из-за СМЭВ-согласий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Средняя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Коммуникационная стратегия, работа с брендом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D">
            <w:pP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746"/>
                <w:sz w:val="20"/>
                <w:szCs w:val="20"/>
                <w:rtl w:val="0"/>
              </w:rPr>
              <w:t xml:space="preserve">Потеря доступа к данным ГИС ЖКХ, ГИС ГМП, СМЭВ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E">
            <w:pP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Низкая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F">
            <w:pP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Переводим поставщиков на прямые договоры, выстраиваем альтернативные источники получения данных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0">
            <w:pPr>
              <w:rPr>
                <w:rFonts w:ascii="Times New Roman" w:cs="Times New Roman" w:eastAsia="Times New Roman" w:hAnsi="Times New Roman"/>
                <w:color w:val="444746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746"/>
                <w:sz w:val="20"/>
                <w:szCs w:val="20"/>
                <w:rtl w:val="0"/>
              </w:rPr>
              <w:t xml:space="preserve">Макроэкономические факторы: высокая ключевая ставка ЦБ ~15%, инфляция, санкционное давление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1">
            <w:pP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Высокая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2">
            <w:pP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746"/>
                <w:sz w:val="20"/>
                <w:szCs w:val="20"/>
                <w:rtl w:val="0"/>
              </w:rPr>
              <w:t xml:space="preserve">Несмотря на высокую вероятность сохранения текущего макроэкономического давления, для ЖКХ и регулярных обязательных платежей — это плюс (обязательные, не зависят от цикла), поэтому наш бизнес - антицикличен, GMV будет продолжать расти от роста инфляции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3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11. Вопросы и ответы (Q&amp;A)</w:t>
      </w:r>
    </w:p>
    <w:p w:rsidR="00000000" w:rsidDel="00000000" w:rsidP="00000000" w:rsidRDefault="00000000" w:rsidRPr="00000000" w14:paraId="000002C6">
      <w:pPr>
        <w:pStyle w:val="Heading3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Q1: Почему переход в не транзакционную модель сработает?</w:t>
      </w:r>
    </w:p>
    <w:p w:rsidR="00000000" w:rsidDel="00000000" w:rsidP="00000000" w:rsidRDefault="00000000" w:rsidRPr="00000000" w14:paraId="000002C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Поставили выбор в понятную рамку: НДС сверху или нетранзакционная модель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Для крупных банков второй вариант прозрачнее и выгоднее — предсказуемая экономика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Все системные партнеры выбрали нетранзакционные без возражений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Q2: Вы зависите от крупных партнёров. Что если один уйдет?</w:t>
      </w:r>
    </w:p>
    <w:p w:rsidR="00000000" w:rsidDel="00000000" w:rsidP="00000000" w:rsidRDefault="00000000" w:rsidRPr="00000000" w14:paraId="000002C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Концентрация только по Альфе: 48.7% трафика. Остальные: Озон 10.7%, ВТБ 9.8%, Т Банк 6.2%, Райф 5.6%, ГПБ 7.4%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Сотовые операторы: у Альфы нет быстрых и недорогих альтернатив — экономически переход нерационален при текущих объемах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ЖКХ: единственный конкурент — Сбер, но у нас подписки и высокий cost of switch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Вывод: риск управляемый и невысокий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Q3: Почему доля Альфы снизится до &lt;40%?</w:t>
      </w:r>
    </w:p>
    <w:p w:rsidR="00000000" w:rsidDel="00000000" w:rsidP="00000000" w:rsidRDefault="00000000" w:rsidRPr="00000000" w14:paraId="000002D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Т-Банк: финальная стадия подписочного протокола — нетранзакционные доходы + новый объём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ВТБ: запуск подписок по адресу — рост в обоих направлениях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Совкомбанк: новый партнер 2025 года, потенциал выхода в Топ-3 по объёму. Запуск и развитие необанков: ОЗОН, WB, Яндекс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Q4: Почему нетранзакционка вырастет?</w:t>
      </w:r>
    </w:p>
    <w:p w:rsidR="00000000" w:rsidDel="00000000" w:rsidP="00000000" w:rsidRDefault="00000000" w:rsidRPr="00000000" w14:paraId="000002D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Партнёры активно наращивают подписки — оттока нет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Новые банки и сервисы подключаются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Регуляторные изменения СМЭВ подталкивают к нашему шлюзу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80% нетранзакционной выручки 2026 уже законтрактовано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Q5: Что произойдёт с маржой при росте?</w:t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Маржа зависит от структуры роста — какие партнёры и продукты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Год-к-году маржинальность остаётся стабильной, существенных колебаний нет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Внешние факторы: НДС, стоимость СМЭВ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3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Q6: РНКО — что если задержка или отказ?</w:t>
      </w:r>
    </w:p>
    <w:p w:rsidR="00000000" w:rsidDel="00000000" w:rsidP="00000000" w:rsidRDefault="00000000" w:rsidRPr="00000000" w14:paraId="000002E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Задержка на год: замедлит рост, не меняет стратегию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Отказ в лицензии: либо отказаться от РНКО, либо купить — альтернативы есть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3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Q7: Приоритет №1 среди инициатив?</w:t>
      </w:r>
    </w:p>
    <w:p w:rsidR="00000000" w:rsidDel="00000000" w:rsidP="00000000" w:rsidRDefault="00000000" w:rsidRPr="00000000" w14:paraId="000002E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Приоритет №1 — перевод транзакционной выручки в SaaS и развитие РНКО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Большинство инициатив логически связаны (HH/Notification продаются через SaaS)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Ответственность разделена между топ-менеджерами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3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Q8: Где доказали умение запускать новые продукты?</w:t>
      </w:r>
    </w:p>
    <w:p w:rsidR="00000000" w:rsidDel="00000000" w:rsidP="00000000" w:rsidRDefault="00000000" w:rsidRPr="00000000" w14:paraId="000002E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HH и Notification — полностью новые для рынка решения, запущены с нуля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Масштабированы до внедрения в нескольких крупных банках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3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Q9: Почему pipeline из 50 идей даст деньги?</w:t>
      </w:r>
    </w:p>
    <w:p w:rsidR="00000000" w:rsidDel="00000000" w:rsidP="00000000" w:rsidRDefault="00000000" w:rsidRPr="00000000" w14:paraId="000002E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Pipeline — воронка, а не список задач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sdt>
        <w:sdtPr>
          <w:id w:val="-142286357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color w:val="1a1a1a"/>
              <w:sz w:val="20"/>
              <w:szCs w:val="20"/>
              <w:rtl w:val="0"/>
            </w:rPr>
            <w:t xml:space="preserve">Многоступенчатый отбор: емкость рынка → тест ценности → пилот → масштабирование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Деньги принесут 2–4 выстреливших продукта, не все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3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Q10: Зачем собственная инфраструктура (Poseidon, 2-й ЦОД)?</w:t>
      </w:r>
    </w:p>
    <w:p w:rsidR="00000000" w:rsidDel="00000000" w:rsidP="00000000" w:rsidRDefault="00000000" w:rsidRPr="00000000" w14:paraId="000002F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Контроль SLA: uptime 99.95% невозможно гарантировать через внешние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Независимость от вендоров: критично для финансовой инфраструктуры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Защита данных: госинтеграции требуют определённого уровня контроля над инфрой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80" w:before="60" w:lineRule="auto"/>
        <w:rPr>
          <w:rFonts w:ascii="Times New Roman" w:cs="Times New Roman" w:eastAsia="Times New Roman" w:hAnsi="Times New Roman"/>
          <w:i w:val="1"/>
          <w:iCs w:val="1"/>
          <w:color w:val="5f5e5a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f5e5a"/>
          <w:sz w:val="20"/>
          <w:szCs w:val="20"/>
          <w:rtl w:val="0"/>
        </w:rPr>
        <w:t xml:space="preserve">(Детальная аргументация — зона ответственности технологического блока)</w:t>
      </w:r>
    </w:p>
    <w:p w:rsidR="00000000" w:rsidDel="00000000" w:rsidP="00000000" w:rsidRDefault="00000000" w:rsidRPr="00000000" w14:paraId="000002F8">
      <w:pPr>
        <w:spacing w:after="80" w:before="60" w:lineRule="auto"/>
        <w:rPr>
          <w:rFonts w:ascii="Times New Roman" w:cs="Times New Roman" w:eastAsia="Times New Roman" w:hAnsi="Times New Roman"/>
          <w:i w:val="1"/>
          <w:iCs w:val="1"/>
          <w:color w:val="5f5e5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80" w:before="60" w:lineRule="auto"/>
        <w:rPr>
          <w:rFonts w:ascii="Times New Roman" w:cs="Times New Roman" w:eastAsia="Times New Roman" w:hAnsi="Times New Roman"/>
          <w:i w:val="1"/>
          <w:iCs w:val="1"/>
          <w:color w:val="44474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34ab7"/>
          <w:sz w:val="20"/>
          <w:szCs w:val="20"/>
          <w:rtl w:val="0"/>
        </w:rPr>
        <w:t xml:space="preserve">Q11: Вопрос – зачем нам нужны малые банки? Почему мы их считаем целевыми? С учетом 95% выручки А3 – в топ 10-20 банках.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Инфраструктурное проникновение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Дополнительный заработок на минимальных контрактах + upsell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34ab7"/>
          <w:sz w:val="20"/>
          <w:szCs w:val="20"/>
          <w:rtl w:val="0"/>
        </w:rPr>
        <w:t xml:space="preserve">Q12: что будете делать, когда подключите 3000 поставщиков в 2028 году?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Будем углублять долю в платежах и подписках в поставщиках. Сейчас средневзвешенная доля в платежах 3,8% и 8,1% - в подписках. Есть потенциал в доп 51-135 млн транзакционного дохода и 24-66 млн нетранзакционного дохода только с поставщиков нового формата интеграции ETL 3. (+75-201 млн дохода в год)</w:t>
      </w:r>
    </w:p>
    <w:p w:rsidR="00000000" w:rsidDel="00000000" w:rsidP="00000000" w:rsidRDefault="00000000" w:rsidRPr="00000000" w14:paraId="000002F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1a1a1a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Будем выходить на новые рынки</w:t>
      </w:r>
    </w:p>
    <w:p w:rsidR="00000000" w:rsidDel="00000000" w:rsidP="00000000" w:rsidRDefault="00000000" w:rsidRPr="00000000" w14:paraId="000003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1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12. OKR и ключевые метрики успеха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d35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Цель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Выручка с НДС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2 691 млн ₽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2433 млн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Чистая прибыль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767 млн ₽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693 млн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8">
            <w:pP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EBITDA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9">
            <w:pPr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~1 128–1 163 млн 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Нетранзакционный доход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470.3 млн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Доля Альфа-Банка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&lt; 40%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НДС от выручки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-187890704"/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20"/>
                    <w:szCs w:val="20"/>
                    <w:rtl w:val="0"/>
                  </w:rPr>
                  <w:t xml:space="preserve">≤ 10%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Партнёры-банки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58 (+9 новых)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Среднее проникновение продуктов в банках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1.90 (цель 3.4 к 2027)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Новых поставщиков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+1 000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Poseidon партнёры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6+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Uptime продукта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99.95%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Churn rate банков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РНКО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Лицензия + корр. счёт + 1 партнёр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Проверенных гипотез R&amp;D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20"/>
                <w:szCs w:val="20"/>
                <w:rtl w:val="0"/>
              </w:rPr>
              <w:t xml:space="preserve">Удовлетворённость коммуникацией (топы)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-1768072042"/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1a1a1a"/>
                    <w:sz w:val="20"/>
                    <w:szCs w:val="20"/>
                    <w:rtl w:val="0"/>
                  </w:rPr>
                  <w:t xml:space="preserve">≥ 90%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2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Цикл пересмотра стратегии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Ежеквартальный: оценка достижения целей, корректировка приоритетов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Годовой стратегический офсайт: обновление Vision, планирование следующего года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Ситуативная корректировка: при изменении внешней среды (регуляторика, рынок)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600" w:hanging="30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0"/>
          <w:szCs w:val="20"/>
          <w:rtl w:val="0"/>
        </w:rPr>
        <w:t xml:space="preserve">Ответственный за мониторинг чёрных/белых лебедей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before="40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f5e5a"/>
          <w:sz w:val="20"/>
          <w:szCs w:val="20"/>
          <w:rtl w:val="0"/>
        </w:rPr>
        <w:t xml:space="preserve">А3 · Бизнес-стратегия 2026 · Конфиденциально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00" w:hanging="30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–"/>
      <w:lvlJc w:val="left"/>
      <w:pPr>
        <w:ind w:left="440" w:hanging="22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60" w:before="400" w:lineRule="auto"/>
    </w:pPr>
    <w:rPr>
      <w:b w:val="1"/>
      <w:bCs w:val="1"/>
      <w:color w:val="1d3557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80" w:lineRule="auto"/>
    </w:pPr>
    <w:rPr>
      <w:b w:val="1"/>
      <w:bCs w:val="1"/>
      <w:color w:val="2e5f8a"/>
      <w:sz w:val="28"/>
      <w:szCs w:val="2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00" w:lineRule="auto"/>
    </w:pPr>
    <w:rPr>
      <w:b w:val="1"/>
      <w:bCs w:val="1"/>
      <w:color w:val="534ab7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trong1" w:customStyle="1">
    <w:name w:val="Strong1"/>
    <w:qFormat w:val="1"/>
    <w:rPr>
      <w:b w:val="1"/>
      <w:bCs w:val="1"/>
    </w:rPr>
  </w:style>
  <w:style w:type="paragraph" w:styleId="a4">
    <w:name w:val="List Paragraph"/>
    <w:qFormat w:val="1"/>
  </w:style>
  <w:style w:type="character" w:styleId="a5">
    <w:name w:val="Hyperlink"/>
    <w:uiPriority w:val="99"/>
    <w:unhideWhenUsed w:val="1"/>
    <w:rPr>
      <w:color w:val="0563c1"/>
      <w:u w:val="single"/>
    </w:rPr>
  </w:style>
  <w:style w:type="character" w:styleId="a6">
    <w:name w:val="footnote reference"/>
    <w:uiPriority w:val="99"/>
    <w:semiHidden w:val="1"/>
    <w:unhideWhenUsed w:val="1"/>
    <w:rPr>
      <w:vertAlign w:val="superscript"/>
    </w:rPr>
  </w:style>
  <w:style w:type="paragraph" w:styleId="a7">
    <w:name w:val="footnote text"/>
    <w:link w:val="a8"/>
    <w:uiPriority w:val="99"/>
    <w:semiHidden w:val="1"/>
    <w:unhideWhenUsed w:val="1"/>
    <w:rPr>
      <w:sz w:val="20"/>
      <w:szCs w:val="20"/>
    </w:rPr>
  </w:style>
  <w:style w:type="character" w:styleId="a8" w:customStyle="1">
    <w:name w:val="Текст сноски Знак"/>
    <w:link w:val="a7"/>
    <w:uiPriority w:val="99"/>
    <w:semiHidden w:val="1"/>
    <w:unhideWhenUsed w:val="1"/>
    <w:rPr>
      <w:sz w:val="20"/>
      <w:szCs w:val="20"/>
    </w:rPr>
  </w:style>
  <w:style w:type="paragraph" w:styleId="a9">
    <w:name w:val="Revision"/>
    <w:hidden w:val="1"/>
    <w:uiPriority w:val="99"/>
    <w:semiHidden w:val="1"/>
    <w:rsid w:val="00665171"/>
  </w:style>
  <w:style w:type="character" w:styleId="aa">
    <w:name w:val="annotation reference"/>
    <w:basedOn w:val="a0"/>
    <w:uiPriority w:val="99"/>
    <w:semiHidden w:val="1"/>
    <w:unhideWhenUsed w:val="1"/>
    <w:rsid w:val="00665171"/>
    <w:rPr>
      <w:sz w:val="16"/>
      <w:szCs w:val="16"/>
    </w:rPr>
  </w:style>
  <w:style w:type="paragraph" w:styleId="ab">
    <w:name w:val="annotation text"/>
    <w:link w:val="ac"/>
    <w:uiPriority w:val="99"/>
    <w:semiHidden w:val="1"/>
    <w:unhideWhenUsed w:val="1"/>
    <w:rsid w:val="00665171"/>
    <w:rPr>
      <w:sz w:val="20"/>
      <w:szCs w:val="20"/>
    </w:rPr>
  </w:style>
  <w:style w:type="character" w:styleId="ac" w:customStyle="1">
    <w:name w:val="Текст примечания Знак"/>
    <w:basedOn w:val="a0"/>
    <w:link w:val="ab"/>
    <w:uiPriority w:val="99"/>
    <w:semiHidden w:val="1"/>
    <w:rsid w:val="0066517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 w:val="1"/>
    <w:unhideWhenUsed w:val="1"/>
    <w:rsid w:val="00665171"/>
    <w:rPr>
      <w:b w:val="1"/>
      <w:bCs w:val="1"/>
    </w:rPr>
  </w:style>
  <w:style w:type="character" w:styleId="ae" w:customStyle="1">
    <w:name w:val="Тема примечания Знак"/>
    <w:basedOn w:val="ac"/>
    <w:link w:val="ad"/>
    <w:uiPriority w:val="99"/>
    <w:semiHidden w:val="1"/>
    <w:rsid w:val="00665171"/>
    <w:rPr>
      <w:b w:val="1"/>
      <w:bCs w:val="1"/>
      <w:sz w:val="20"/>
      <w:szCs w:val="20"/>
    </w:rPr>
  </w:style>
  <w:style w:type="table" w:styleId="af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0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1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2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3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4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5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6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7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8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9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a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b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c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d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e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f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f0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f1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f2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f3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f4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f5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f7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f8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f9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fa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fb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fc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fd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fe" w:customStyle="1">
    <w:basedOn w:val="TableNormal0"/>
    <w:tblPr>
      <w:tblStyleRowBandSize w:val="1"/>
      <w:tblStyleColBandSize w:val="1"/>
    </w:tblPr>
  </w:style>
  <w:style w:type="table" w:styleId="afff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ff0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ff1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ff2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ff3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ff4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ff5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ff6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ff7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ff8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ff9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ffa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ffb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ffc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ffd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ffe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fff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fff0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fff1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ffff2" w:customStyle="1">
    <w:basedOn w:val="TableNormal0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presentation/create?hl=ru" TargetMode="External"/><Relationship Id="rId8" Type="http://schemas.openxmlformats.org/officeDocument/2006/relationships/hyperlink" Target="https://docs.google.com/presentation/create?hl=r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vCkX6YOAIq/j5ItslCFRfu3VK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AKAjExEhoKGAgJUhQKEnRhYmxlLmJsczZlZGN5cjZoYhomCgIxMhIgCh4IB0IaCg9UaW1lcyBOZXcgUm9tYW4SB0d1bmdzdWgaJgoCMTMSIAoeCAdCGgoPVGltZXMgTmV3IFJvbWFuEgdHdW5nc3VoGiYKAjE0EiAKHggHQhoKD1RpbWVzIE5ldyBSb21hbhIHR3VuZ3N1aDIOaC5tZ2VnOWFvODF3aHYyDmguaXB0ZWlqNDU3Y3dtMg5oLng1eDR3dmR4cW96ejIOaC5rdzE5cmhhcjMzdmw4AHIhMXFjMExFRlp5YWxCd2pFRkZSZUl1RHJ2aGhsUzVfbkY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2026-03-26T12:17:00Z</dcterms:created>
  <dc:creator>Un-named</dc:creator>
</cp:coreProperties>
</file>