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2D" w:rsidRDefault="0076742D" w:rsidP="00F54BC8">
      <w:pPr>
        <w:pStyle w:val="NoSpacing"/>
      </w:pPr>
      <w:r>
        <w:t>Kausalya R</w:t>
      </w:r>
      <w:bookmarkStart w:id="0" w:name="_GoBack"/>
      <w:bookmarkEnd w:id="0"/>
    </w:p>
    <w:p w:rsidR="00492655" w:rsidRPr="00F54BC8" w:rsidRDefault="0099021E" w:rsidP="00F54BC8">
      <w:pPr>
        <w:pStyle w:val="NoSpacing"/>
      </w:pPr>
      <w:r w:rsidRPr="00F54BC8">
        <w:t>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198"/>
      </w:tblGrid>
      <w:tr w:rsidR="0099021E" w:rsidRPr="0099021E" w:rsidTr="009902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public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class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q1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public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static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void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main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arg1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Integer.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parseInt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[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arg2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Integer.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parseInt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[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arg3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Integer.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parseInt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[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2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if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( arg1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arg2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&amp;&amp;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arg2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arg3)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System.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"equal"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System.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"not equal"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return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99021E" w:rsidRPr="00F54BC8" w:rsidRDefault="0099021E" w:rsidP="00F54BC8">
      <w:pPr>
        <w:pStyle w:val="NoSpacing"/>
      </w:pPr>
      <w:r w:rsidRPr="00F54BC8">
        <w:t>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47"/>
      </w:tblGrid>
      <w:tr w:rsidR="0099021E" w:rsidRPr="0099021E" w:rsidTr="009902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import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java.util.Arrays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public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class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q2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public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static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void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sort_binary_nums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k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for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&lt;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length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++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if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[k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++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for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k;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&lt;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length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++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[k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++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public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static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void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main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};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System.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"Original array: "+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Arrays.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toString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sort_binary_nums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System.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"After sorting: "+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Arrays.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toString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b_nums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99021E" w:rsidRPr="00F54BC8" w:rsidRDefault="0099021E" w:rsidP="00F54BC8">
      <w:pPr>
        <w:pStyle w:val="NoSpacing"/>
      </w:pPr>
      <w:r w:rsidRPr="00F54BC8">
        <w:t>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86"/>
      </w:tblGrid>
      <w:tr w:rsidR="0099021E" w:rsidRPr="0099021E" w:rsidTr="009902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public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class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q3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public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static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void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main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// read in one command-line argument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n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Integer.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parseInt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[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0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;        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// count from 0 to N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powerOfTwo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;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// the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ith</w:t>
            </w:r>
            <w:proofErr w:type="spellEnd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power of two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// repeat until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equals n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while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&lt;=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n) {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System.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out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+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" "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+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powerOfTwo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);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// print out the power of two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powerOfTwo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2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*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powerOfTwo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;               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// double to get the next one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+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</w:t>
            </w: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99021E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99021E" w:rsidRPr="00F54BC8" w:rsidRDefault="0099021E" w:rsidP="00F54BC8">
      <w:pPr>
        <w:pStyle w:val="NoSpacing"/>
      </w:pPr>
      <w:r w:rsidRPr="00F54BC8">
        <w:t>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293"/>
      </w:tblGrid>
      <w:tr w:rsidR="0099021E" w:rsidRPr="0099021E" w:rsidTr="0099021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4"/>
                <w:szCs w:val="24"/>
                <w:lang w:eastAsia="en-IN"/>
              </w:rPr>
            </w:pPr>
          </w:p>
        </w:tc>
      </w:tr>
      <w:tr w:rsidR="0099021E" w:rsidRPr="0099021E" w:rsidTr="009902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++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returns the value after it is incremented, while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++ return the value before it is incremented.</w:t>
            </w:r>
          </w:p>
        </w:tc>
      </w:tr>
      <w:tr w:rsidR="0099021E" w:rsidRPr="0099021E" w:rsidTr="009902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At the end, in both cases the </w:t>
            </w:r>
            <w:proofErr w:type="spellStart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will have its value incremented.</w:t>
            </w:r>
          </w:p>
        </w:tc>
      </w:tr>
      <w:tr w:rsidR="0099021E" w:rsidRPr="0099021E" w:rsidTr="0099021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0"/>
                <w:szCs w:val="20"/>
                <w:lang w:eastAsia="en-IN"/>
              </w:rPr>
            </w:pPr>
          </w:p>
        </w:tc>
      </w:tr>
    </w:tbl>
    <w:p w:rsidR="0099021E" w:rsidRPr="00F54BC8" w:rsidRDefault="0099021E" w:rsidP="00F54BC8">
      <w:pPr>
        <w:pStyle w:val="NoSpacing"/>
      </w:pPr>
      <w:r w:rsidRPr="00F54BC8">
        <w:t>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9021E" w:rsidRPr="0099021E" w:rsidTr="0099021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sz w:val="18"/>
                <w:szCs w:val="18"/>
                <w:lang w:eastAsia="en-IN"/>
              </w:rPr>
              <w:t xml:space="preserve">The condition is a </w:t>
            </w:r>
            <w:proofErr w:type="spellStart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>boolean</w:t>
            </w:r>
            <w:proofErr w:type="spellEnd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 xml:space="preserve"> expression that tests the loop control variable.</w:t>
            </w:r>
          </w:p>
        </w:tc>
      </w:tr>
      <w:tr w:rsidR="0099021E" w:rsidRPr="0099021E" w:rsidTr="0099021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sz w:val="18"/>
                <w:szCs w:val="18"/>
                <w:lang w:eastAsia="en-IN"/>
              </w:rPr>
              <w:t>The iteration is used to increment or decrement the loop control variable.</w:t>
            </w:r>
          </w:p>
        </w:tc>
      </w:tr>
      <w:tr w:rsidR="0099021E" w:rsidRPr="0099021E" w:rsidTr="0099021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sz w:val="18"/>
                <w:szCs w:val="18"/>
                <w:lang w:eastAsia="en-IN"/>
              </w:rPr>
              <w:t xml:space="preserve">All three </w:t>
            </w:r>
            <w:proofErr w:type="gramStart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>initialization</w:t>
            </w:r>
            <w:proofErr w:type="gramEnd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>, condition and iteration are optional. i.e. we can have for loop without initialization section or condition section or iteration section.</w:t>
            </w:r>
          </w:p>
        </w:tc>
      </w:tr>
      <w:tr w:rsidR="0099021E" w:rsidRPr="0099021E" w:rsidTr="0099021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sz w:val="18"/>
                <w:szCs w:val="18"/>
                <w:lang w:eastAsia="en-IN"/>
              </w:rPr>
              <w:t>"</w:t>
            </w:r>
            <w:proofErr w:type="spellStart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>Intialization</w:t>
            </w:r>
            <w:proofErr w:type="spellEnd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 xml:space="preserve">" section is called only once before the for </w:t>
            </w:r>
            <w:proofErr w:type="spellStart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>for</w:t>
            </w:r>
            <w:proofErr w:type="spellEnd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 xml:space="preserve"> starts. i.e. No matter how many iterations are there, it is executed only once at the beginning of the for loop. That is why any declarations and </w:t>
            </w:r>
            <w:proofErr w:type="spellStart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>intializations</w:t>
            </w:r>
            <w:proofErr w:type="spellEnd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>, which we do only once goes in this section.</w:t>
            </w:r>
          </w:p>
        </w:tc>
      </w:tr>
      <w:tr w:rsidR="0099021E" w:rsidRPr="0099021E" w:rsidTr="0099021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sz w:val="18"/>
                <w:szCs w:val="18"/>
                <w:lang w:eastAsia="en-IN"/>
              </w:rPr>
              <w:t>"Condition" is checked every time before starting the iteration, and only if it is true the body is executed, else the for loop is terminated.</w:t>
            </w:r>
          </w:p>
        </w:tc>
      </w:tr>
      <w:tr w:rsidR="0099021E" w:rsidRPr="0099021E" w:rsidTr="0099021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sz w:val="18"/>
                <w:szCs w:val="18"/>
                <w:lang w:eastAsia="en-IN"/>
              </w:rPr>
              <w:t>"Iteration" is called at the end of the body after every iteration. So if there are 5 iterations, the iteration section is executed 5 times.</w:t>
            </w:r>
          </w:p>
        </w:tc>
      </w:tr>
    </w:tbl>
    <w:p w:rsidR="0099021E" w:rsidRPr="00F54BC8" w:rsidRDefault="0099021E" w:rsidP="00F54BC8">
      <w:pPr>
        <w:pStyle w:val="NoSpacing"/>
      </w:pPr>
      <w:r w:rsidRPr="00F54BC8">
        <w:t>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747"/>
      </w:tblGrid>
      <w:tr w:rsidR="0099021E" w:rsidRPr="0099021E" w:rsidTr="0099021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F54BC8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  <w:proofErr w:type="gramStart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>Yes</w:t>
            </w:r>
            <w:proofErr w:type="gramEnd"/>
            <w:r w:rsidRPr="00F54BC8">
              <w:rPr>
                <w:rFonts w:eastAsia="Times New Roman"/>
                <w:sz w:val="18"/>
                <w:szCs w:val="18"/>
                <w:lang w:eastAsia="en-IN"/>
              </w:rPr>
              <w:t xml:space="preserve"> we can use double variables in for loop</w:t>
            </w: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sz w:val="18"/>
                <w:szCs w:val="18"/>
                <w:lang w:eastAsia="en-IN"/>
              </w:rPr>
              <w:t>Especially if we want to loop through fractional values or increment by fractional values.</w:t>
            </w:r>
          </w:p>
        </w:tc>
      </w:tr>
    </w:tbl>
    <w:p w:rsidR="0099021E" w:rsidRPr="00F54BC8" w:rsidRDefault="0099021E" w:rsidP="00F54BC8">
      <w:pPr>
        <w:pStyle w:val="NoSpacing"/>
        <w:rPr>
          <w:rFonts w:eastAsia="Times New Roman"/>
          <w:color w:val="24292E"/>
          <w:sz w:val="21"/>
          <w:szCs w:val="21"/>
          <w:lang w:eastAsia="en-IN"/>
        </w:rPr>
      </w:pPr>
      <w:r w:rsidRPr="00F54BC8">
        <w:rPr>
          <w:rFonts w:eastAsia="Times New Roman"/>
          <w:color w:val="24292E"/>
          <w:sz w:val="21"/>
          <w:szCs w:val="21"/>
          <w:lang w:eastAsia="en-IN"/>
        </w:rPr>
        <w:t>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All for loops can be written as while loops, and vice-versa.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F54BC8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I</w:t>
            </w:r>
            <w:r w:rsidR="0099021E"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n general, we should use a for loop when we know how many times the loop should run.</w:t>
            </w:r>
          </w:p>
        </w:tc>
      </w:tr>
      <w:tr w:rsidR="0099021E" w:rsidRPr="0099021E" w:rsidTr="0099021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021E" w:rsidRPr="00F54BC8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 xml:space="preserve"> If we want the loop to break based on a condition other than the number of times it runs, we should use a while loop.</w:t>
            </w:r>
          </w:p>
          <w:p w:rsidR="0099021E" w:rsidRPr="00F54BC8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F54BC8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8.</w:t>
            </w:r>
          </w:p>
          <w:p w:rsidR="0099021E" w:rsidRPr="00F54BC8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Bubble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  <w:gridCol w:w="3536"/>
            </w:tblGrid>
            <w:tr w:rsidR="0099021E" w:rsidRPr="0099021E" w:rsidTr="0099021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package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com.assignment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public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class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q8BubbleSort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{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void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bubbleSort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[])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n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length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for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0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;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&lt;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n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-1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;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++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for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j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0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; j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&lt;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n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-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-1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;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j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++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if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(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[j]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&gt;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[j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+1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])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{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// swap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[j+1] and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[j]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temp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[j];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   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[j]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[j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+1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];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   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[j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+1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]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temp;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}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/* Prints the array */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void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printArray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[])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n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length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for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=0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;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&lt;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n;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++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out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print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]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+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" "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out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println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// Driver method to test above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public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static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void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main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String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[])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q8BubbleSort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ob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new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q8BubbleSort();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[]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{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64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34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25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12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22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11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90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};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ob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bubbleSort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out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println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"Sorted array"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ob</w:t>
                  </w: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.</w:t>
                  </w: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printArray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99021E" w:rsidRPr="0099021E" w:rsidTr="0099021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9021E" w:rsidRPr="0099021E" w:rsidRDefault="0099021E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99021E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</w:tbl>
          <w:p w:rsidR="0099021E" w:rsidRPr="00F54BC8" w:rsidRDefault="00F54BC8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Heap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4166"/>
            </w:tblGrid>
            <w:tr w:rsidR="00F54BC8" w:rsidRPr="00F54BC8" w:rsidTr="00F54B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public class q8HeapSort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public void sort(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[])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n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arr.length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// Build heap (rearrange array)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for 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n / 2 - 1;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&gt;= 0;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--)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heapify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n,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// One by one extract an element from heap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for 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=n-1;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&gt;=0;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--)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// Move current root to end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temp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[0];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[0]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];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] = temp;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// call max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heapify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on the reduced heap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heapify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, 0);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// To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heapify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a subtree rooted with node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which is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// an index in </w:t>
                  </w:r>
                  <w:proofErr w:type="spellStart"/>
                  <w:proofErr w:type="gram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</w:t>
                  </w:r>
                  <w:proofErr w:type="gram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]. n is size of heap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void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heapify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[],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n,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largest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;  // Initialize largest as root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l = 2*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+ 1;  // left = 2*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+ 1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r = 2*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+ 2;  // right = 2*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+ 2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// If left child is larger than root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if (l &lt; n &amp;&amp;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[l] &gt;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[largest])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largest = l;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// If right child is larger than largest so far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if (r &lt; n &amp;&amp;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[r] &gt;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[largest])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largest = r;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// If largest is not root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if (largest !=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swap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];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]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[largest];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[largest] = swap;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// Recursively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heapify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the affected sub-tree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heapify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, n, largest);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/* A utility function to print array of size n */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static void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printArray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[])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n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arr.length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for 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=0;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&lt;n; ++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]+" 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// Driver program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public static void main(String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[])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[] = {12, 11, 13, 5, 6, 7};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n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arr.length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q8HeapSort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ob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new q8HeapSort();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ob.sort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("Sorted array is");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printArray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</w:tbl>
          <w:p w:rsidR="00F54BC8" w:rsidRPr="00F54BC8" w:rsidRDefault="00F54BC8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F54BC8" w:rsidRPr="00F54BC8" w:rsidRDefault="00F54BC8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9.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4268"/>
            </w:tblGrid>
            <w:tr w:rsidR="00F54BC8" w:rsidRPr="00F54BC8" w:rsidTr="00F54B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public class q9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public static void main(String[]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// year to be checked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year = 2000;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boolean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leap = false;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// if the year is divided by 4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if (year % 4 == 0)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// if the year is century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if (year % 100 == 0)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// if year is divided by 400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// then it is a leap year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if (year % 400 == 0)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    leap = true;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else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    leap = false;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// if the year is not century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else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leap = true;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else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leap = false;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if (leap)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(year + " is a leap year.");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else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(year + " is not a leap year.");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</w:tbl>
          <w:p w:rsidR="00F54BC8" w:rsidRPr="00F54BC8" w:rsidRDefault="00F54BC8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F54BC8" w:rsidRPr="00F54BC8" w:rsidRDefault="00F54BC8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10.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456"/>
            </w:tblGrid>
            <w:tr w:rsidR="00F54BC8" w:rsidRPr="00F54BC8" w:rsidTr="00F54B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java.util.Scanner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public class q10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public static void main(String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[])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Scanner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sc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new Scanner(System.in);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("Enter the two numbers: 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x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sc.nextInt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y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sc.nextInt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("The GCD of two numbers is: " +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findGCD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x,y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static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findGCD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x,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y)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r=0, a, b;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a = (x &gt; y) ? x : y; // a is greater number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b = (x &lt; y) ? x : y; // b is smaller number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r = b;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while(a % b != 0)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r = a % b;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a = b;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b = r;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return r;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</w:tbl>
          <w:p w:rsidR="00F54BC8" w:rsidRPr="00F54BC8" w:rsidRDefault="00F54BC8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11.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4111"/>
            </w:tblGrid>
            <w:tr w:rsidR="00F54BC8" w:rsidRPr="00F54BC8" w:rsidTr="00F54B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java.util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.*;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public class q11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public void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convertBinary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binary[] = new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[40];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index = 0;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while(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&gt; 0){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binary[index++] = num%2;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/2;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for(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index-1;i &gt;= 0;i--){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(binary[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]);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public static void main(String[]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q11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obj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=new q11();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Scanner in = new Scanner(System.in);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("Enter decimal number: 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in.nextInt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("\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nBinary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representation is:");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obj.convertBinary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num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</w:tbl>
          <w:p w:rsidR="00F54BC8" w:rsidRPr="00F54BC8" w:rsidRDefault="00F54BC8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  <w:r w:rsidRPr="00F54BC8">
              <w:rPr>
                <w:rFonts w:eastAsia="Times New Roman"/>
                <w:color w:val="24292E"/>
                <w:sz w:val="18"/>
                <w:szCs w:val="18"/>
                <w:lang w:eastAsia="en-IN"/>
              </w:rPr>
              <w:t>12.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3188"/>
            </w:tblGrid>
            <w:tr w:rsidR="00F54BC8" w:rsidRPr="00F54BC8" w:rsidTr="00F54B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public class q12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public static void main(String[]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length = 5;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height = 5;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for 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0;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&lt;= height;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++)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if 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% 2 == 0)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("* 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else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(" 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for (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j = 0; j &lt;= length;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j++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if (j % 2 == 0)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(" 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else if (j != length ||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% 2 != 0)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{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("* 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("");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   }</w:t>
                  </w:r>
                </w:p>
              </w:tc>
            </w:tr>
            <w:tr w:rsidR="00F54BC8" w:rsidRPr="00F54BC8" w:rsidTr="00F54B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54BC8" w:rsidRPr="00F54BC8" w:rsidRDefault="00F54BC8" w:rsidP="00F54BC8">
                  <w:pPr>
                    <w:pStyle w:val="NoSpacing"/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F54BC8">
                    <w:rPr>
                      <w:rFonts w:eastAsia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</w:tbl>
          <w:p w:rsidR="00F54BC8" w:rsidRPr="00F54BC8" w:rsidRDefault="00F54BC8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  <w:p w:rsidR="0099021E" w:rsidRPr="0099021E" w:rsidRDefault="0099021E" w:rsidP="00F54BC8">
            <w:pPr>
              <w:pStyle w:val="NoSpacing"/>
              <w:rPr>
                <w:rFonts w:eastAsia="Times New Roman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99021E" w:rsidRPr="00F54BC8" w:rsidRDefault="0099021E" w:rsidP="00F54BC8">
      <w:pPr>
        <w:pStyle w:val="NoSpacing"/>
      </w:pPr>
    </w:p>
    <w:sectPr w:rsidR="0099021E" w:rsidRPr="00F5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97FEE"/>
    <w:multiLevelType w:val="multilevel"/>
    <w:tmpl w:val="337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A0C7D"/>
    <w:multiLevelType w:val="multilevel"/>
    <w:tmpl w:val="8EBC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FE"/>
    <w:rsid w:val="00492655"/>
    <w:rsid w:val="004A25FE"/>
    <w:rsid w:val="0076742D"/>
    <w:rsid w:val="0099021E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0829"/>
  <w15:chartTrackingRefBased/>
  <w15:docId w15:val="{FFDE2A0F-ED02-4E65-8977-CA7A7809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99021E"/>
  </w:style>
  <w:style w:type="character" w:customStyle="1" w:styleId="pl-smi">
    <w:name w:val="pl-smi"/>
    <w:basedOn w:val="DefaultParagraphFont"/>
    <w:rsid w:val="0099021E"/>
  </w:style>
  <w:style w:type="character" w:customStyle="1" w:styleId="pl-en">
    <w:name w:val="pl-en"/>
    <w:basedOn w:val="DefaultParagraphFont"/>
    <w:rsid w:val="0099021E"/>
  </w:style>
  <w:style w:type="character" w:customStyle="1" w:styleId="pl-v">
    <w:name w:val="pl-v"/>
    <w:basedOn w:val="DefaultParagraphFont"/>
    <w:rsid w:val="0099021E"/>
  </w:style>
  <w:style w:type="character" w:customStyle="1" w:styleId="pl-c1">
    <w:name w:val="pl-c1"/>
    <w:basedOn w:val="DefaultParagraphFont"/>
    <w:rsid w:val="0099021E"/>
  </w:style>
  <w:style w:type="character" w:customStyle="1" w:styleId="pl-token">
    <w:name w:val="pl-token"/>
    <w:basedOn w:val="DefaultParagraphFont"/>
    <w:rsid w:val="0099021E"/>
  </w:style>
  <w:style w:type="character" w:customStyle="1" w:styleId="pl-s">
    <w:name w:val="pl-s"/>
    <w:basedOn w:val="DefaultParagraphFont"/>
    <w:rsid w:val="0099021E"/>
  </w:style>
  <w:style w:type="character" w:customStyle="1" w:styleId="pl-pds">
    <w:name w:val="pl-pds"/>
    <w:basedOn w:val="DefaultParagraphFont"/>
    <w:rsid w:val="0099021E"/>
  </w:style>
  <w:style w:type="character" w:customStyle="1" w:styleId="pl-c">
    <w:name w:val="pl-c"/>
    <w:basedOn w:val="DefaultParagraphFont"/>
    <w:rsid w:val="0099021E"/>
  </w:style>
  <w:style w:type="character" w:customStyle="1" w:styleId="pl-cce">
    <w:name w:val="pl-cce"/>
    <w:basedOn w:val="DefaultParagraphFont"/>
    <w:rsid w:val="00F54BC8"/>
  </w:style>
  <w:style w:type="paragraph" w:styleId="NoSpacing">
    <w:name w:val="No Spacing"/>
    <w:uiPriority w:val="1"/>
    <w:qFormat/>
    <w:rsid w:val="00F54B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Kausalya R</dc:creator>
  <cp:keywords/>
  <dc:description/>
  <cp:lastModifiedBy>Kausalya R</cp:lastModifiedBy>
  <cp:revision>3</cp:revision>
  <dcterms:created xsi:type="dcterms:W3CDTF">2021-05-28T15:22:00Z</dcterms:created>
  <dcterms:modified xsi:type="dcterms:W3CDTF">2021-05-28T15:38:00Z</dcterms:modified>
</cp:coreProperties>
</file>