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287FF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SDWAN控制器量子相关配置</w:t>
      </w:r>
    </w:p>
    <w:p w14:paraId="33C26973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业务管理——量子服务器管理</w:t>
      </w:r>
    </w:p>
    <w:p w14:paraId="514F3F67">
      <w:pPr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控制器站点需要调用量子服务器配置，因此需要先完成量子服务的配置</w:t>
      </w:r>
    </w:p>
    <w:p w14:paraId="24D8474A">
      <w:pPr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1、</w:t>
      </w:r>
    </w:p>
    <w:p w14:paraId="7D5E4279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设备上的配置：</w:t>
      </w:r>
    </w:p>
    <w:p w14:paraId="3FC5DE6E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crypto qss-server abc</w:t>
      </w:r>
    </w:p>
    <w:p w14:paraId="0FFBF6B1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type qkapp</w:t>
      </w:r>
    </w:p>
    <w:p w14:paraId="4D96AE58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source-id WTSDK</w:t>
      </w:r>
    </w:p>
    <w:p w14:paraId="0D9E9662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secret-key hex 9fa3063c195049e197783f7fa4d641b1</w:t>
      </w:r>
    </w:p>
    <w:p w14:paraId="64CBD8FA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app-key hex a7b05cbfdecc4b7da85ca0651e70625a</w:t>
      </w:r>
    </w:p>
    <w:p w14:paraId="619C4982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signature hex a7b05cbfdecc4b7da85ca0651e70625a</w:t>
      </w:r>
    </w:p>
    <w:p w14:paraId="7213FBC8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key-server 111.39.251.120 port 6801</w:t>
      </w:r>
    </w:p>
    <w:p w14:paraId="49F2584A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控制器上</w:t>
      </w:r>
    </w:p>
    <w:p w14:paraId="567F33FF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384675" cy="2139315"/>
            <wp:effectExtent l="0" t="0" r="9525" b="196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A51B1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 w:ascii="黑体" w:hAnsi="黑体" w:eastAsia="黑体" w:cs="黑体"/>
          <w:lang w:val="en-US" w:eastAsia="zh-CN"/>
        </w:rPr>
        <w:t>设备上配置</w:t>
      </w:r>
    </w:p>
    <w:p w14:paraId="18FABFD6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crypto quantum-key profile abc_pfl</w:t>
      </w:r>
    </w:p>
    <w:p w14:paraId="51469892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type qss</w:t>
      </w:r>
    </w:p>
    <w:p w14:paraId="289065C2">
      <w:pPr>
        <w:numPr>
          <w:ilvl w:val="0"/>
          <w:numId w:val="0"/>
        </w:numPr>
        <w:jc w:val="both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qss-server abc 这里控制器上默认绑定“量子服务器名称”输入框中名称，页面不用再配置</w:t>
      </w:r>
    </w:p>
    <w:p w14:paraId="7E585286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控制器上</w:t>
      </w:r>
    </w:p>
    <w:p w14:paraId="314E62B8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956685" cy="989330"/>
            <wp:effectExtent l="0" t="0" r="5715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D87B">
      <w:pPr>
        <w:numPr>
          <w:ilvl w:val="0"/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3、</w:t>
      </w:r>
    </w:p>
    <w:p w14:paraId="7A57C101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设备上配置</w:t>
      </w:r>
    </w:p>
    <w:p w14:paraId="01F458AE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quantum ulei-0/16 enable</w:t>
      </w:r>
    </w:p>
    <w:p w14:paraId="22E16B50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quantum coss appkey f0174e17b60d43c8be349c1312d7ca03</w:t>
      </w:r>
    </w:p>
    <w:p w14:paraId="11FEF6B5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quantum coss domain coss://111.39.251.120:1445</w:t>
      </w:r>
    </w:p>
    <w:p w14:paraId="17E326DB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quantum coss secretkey 1d156d38b5a942f5a31863cd01cf65f7</w:t>
      </w:r>
    </w:p>
    <w:p w14:paraId="6612B3DA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quantum coss sourceid WTSDK</w:t>
      </w:r>
    </w:p>
    <w:p w14:paraId="26D4CA5A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控制器上</w:t>
      </w:r>
    </w:p>
    <w:p w14:paraId="79B16DBB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711700" cy="1176655"/>
            <wp:effectExtent l="0" t="0" r="12700" b="1714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A979D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40030AE">
      <w:pPr>
        <w:numPr>
          <w:ilvl w:val="0"/>
          <w:numId w:val="1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站点——量子配置的选择</w:t>
      </w:r>
    </w:p>
    <w:p w14:paraId="41BE1D10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站点基本信息，选择量子隧道类型</w:t>
      </w:r>
    </w:p>
    <w:p w14:paraId="0863E796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661535" cy="1980565"/>
            <wp:effectExtent l="0" t="0" r="12065" b="6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C7C09">
      <w:pPr>
        <w:numPr>
          <w:ilvl w:val="0"/>
          <w:numId w:val="0"/>
        </w:numPr>
        <w:jc w:val="both"/>
      </w:pPr>
    </w:p>
    <w:p w14:paraId="1D01308D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量子信息里面需要正确的填写设备所属槽位，</w:t>
      </w:r>
    </w:p>
    <w:p w14:paraId="7A4EFB72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例如：200系列设备是槽位0,2800-4X系列是槽位4,3800-8X是槽位8；</w:t>
      </w:r>
    </w:p>
    <w:p w14:paraId="29A2545D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量子使用的是ulei16口；</w:t>
      </w:r>
    </w:p>
    <w:p w14:paraId="6B30514F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可以从量子信息中选择到已经配置的量子服务器名称</w:t>
      </w:r>
    </w:p>
    <w:p w14:paraId="48048EB4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564890" cy="1600200"/>
            <wp:effectExtent l="0" t="0" r="1651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489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8F36D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473575" cy="872490"/>
            <wp:effectExtent l="0" t="0" r="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rcRect b="37174"/>
                    <a:stretch>
                      <a:fillRect/>
                    </a:stretch>
                  </pic:blipFill>
                  <pic:spPr>
                    <a:xfrm>
                      <a:off x="0" y="0"/>
                      <a:ext cx="4473575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33A3D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962400" cy="1402080"/>
            <wp:effectExtent l="0" t="0" r="0" b="2032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rcRect l="1707" t="1655" r="993" b="2151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53D28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7C02A7E">
      <w:pPr>
        <w:numPr>
          <w:ilvl w:val="0"/>
          <w:numId w:val="0"/>
        </w:numPr>
        <w:jc w:val="both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设备WAN口使能量子</w:t>
      </w:r>
    </w:p>
    <w:p w14:paraId="4948A653">
      <w:pPr>
        <w:numPr>
          <w:ilvl w:val="0"/>
          <w:numId w:val="0"/>
        </w:numPr>
        <w:jc w:val="center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141980" cy="3352800"/>
            <wp:effectExtent l="0" t="0" r="762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19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9AFAB">
      <w:pPr>
        <w:numPr>
          <w:ilvl w:val="0"/>
          <w:numId w:val="1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设备上线，绑定站点之前，进单点开启CGN功能，再进行站点绑定和配置下发</w:t>
      </w:r>
    </w:p>
    <w:p w14:paraId="2EB0C59B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699000" cy="1741805"/>
            <wp:effectExtent l="0" t="0" r="0" b="1079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FCD33">
      <w:pPr>
        <w:numPr>
          <w:ilvl w:val="0"/>
          <w:numId w:val="1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设备单点量子功能</w:t>
      </w:r>
    </w:p>
    <w:p w14:paraId="62D36AF6">
      <w:pPr>
        <w:pStyle w:val="2"/>
        <w:numPr>
          <w:ilvl w:val="0"/>
          <w:numId w:val="0"/>
        </w:numPr>
        <w:ind w:leftChars="0"/>
        <w:outlineLvl w:val="4"/>
        <w:rPr>
          <w:rFonts w:hint="eastAsia" w:ascii="宋体" w:hAnsi="宋体" w:eastAsia="宋体" w:cs="宋体"/>
          <w:spacing w:val="0"/>
          <w:kern w:val="2"/>
          <w:sz w:val="21"/>
          <w:szCs w:val="21"/>
          <w:lang w:val="en-US" w:eastAsia="zh-CN"/>
        </w:rPr>
      </w:pPr>
      <w:r>
        <w:rPr>
          <w:rFonts w:hint="eastAsia" w:hAnsi="宋体" w:cs="宋体"/>
          <w:spacing w:val="0"/>
          <w:kern w:val="2"/>
          <w:sz w:val="21"/>
          <w:szCs w:val="21"/>
          <w:lang w:val="en-US" w:eastAsia="zh-CN"/>
        </w:rPr>
        <w:t xml:space="preserve">4.1 </w:t>
      </w:r>
      <w:r>
        <w:rPr>
          <w:rFonts w:hint="eastAsia" w:ascii="宋体" w:hAnsi="宋体" w:cs="宋体"/>
          <w:spacing w:val="0"/>
          <w:kern w:val="2"/>
          <w:sz w:val="21"/>
          <w:szCs w:val="21"/>
          <w:lang w:val="en-US" w:eastAsia="zh-CN"/>
        </w:rPr>
        <w:t>量子隧道叠加国密、量子隧道叠加商密</w:t>
      </w:r>
    </w:p>
    <w:p w14:paraId="2B7C1306">
      <w:pPr>
        <w:pStyle w:val="2"/>
        <w:numPr>
          <w:ilvl w:val="-1"/>
          <w:numId w:val="0"/>
        </w:numPr>
        <w:ind w:firstLine="0" w:firstLineChars="0"/>
      </w:pPr>
      <w:r>
        <w:drawing>
          <wp:inline distT="0" distB="0" distL="114300" distR="114300">
            <wp:extent cx="5290185" cy="629285"/>
            <wp:effectExtent l="0" t="0" r="18415" b="5715"/>
            <wp:docPr id="26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E5C7">
      <w:pPr>
        <w:pStyle w:val="2"/>
        <w:numPr>
          <w:ilvl w:val="-1"/>
          <w:numId w:val="0"/>
        </w:numPr>
        <w:ind w:firstLine="0" w:firstLineChars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47005" cy="582930"/>
            <wp:effectExtent l="0" t="0" r="10795" b="1270"/>
            <wp:docPr id="140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7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D08EC">
      <w:pPr>
        <w:pStyle w:val="2"/>
        <w:numPr>
          <w:ilvl w:val="0"/>
          <w:numId w:val="0"/>
        </w:numPr>
        <w:ind w:leftChars="0"/>
        <w:outlineLvl w:val="3"/>
        <w:rPr>
          <w:rFonts w:hint="eastAsia" w:ascii="宋体" w:hAnsi="宋体" w:eastAsia="宋体" w:cs="宋体"/>
          <w:spacing w:val="0"/>
          <w:kern w:val="2"/>
          <w:sz w:val="21"/>
          <w:szCs w:val="21"/>
          <w:lang w:val="en-US" w:eastAsia="zh-CN"/>
        </w:rPr>
      </w:pPr>
      <w:r>
        <w:rPr>
          <w:rFonts w:hint="eastAsia" w:hAnsi="宋体" w:cs="宋体"/>
          <w:spacing w:val="0"/>
          <w:kern w:val="2"/>
          <w:sz w:val="21"/>
          <w:szCs w:val="21"/>
          <w:lang w:val="en-US" w:eastAsia="zh-CN"/>
        </w:rPr>
        <w:t xml:space="preserve">4.2 </w:t>
      </w:r>
      <w:r>
        <w:rPr>
          <w:rFonts w:hint="eastAsia" w:ascii="宋体" w:hAnsi="宋体" w:cs="宋体"/>
          <w:spacing w:val="0"/>
          <w:kern w:val="2"/>
          <w:sz w:val="21"/>
          <w:szCs w:val="21"/>
          <w:lang w:val="en-US" w:eastAsia="zh-CN"/>
        </w:rPr>
        <w:t>设备侧量子相关数据展示</w:t>
      </w:r>
    </w:p>
    <w:p w14:paraId="73C7319F">
      <w:pPr>
        <w:pStyle w:val="2"/>
        <w:numPr>
          <w:ilvl w:val="0"/>
          <w:numId w:val="0"/>
        </w:numPr>
        <w:ind w:leftChars="0"/>
        <w:outlineLvl w:val="4"/>
        <w:rPr>
          <w:rFonts w:hint="eastAsia" w:ascii="宋体" w:hAnsi="宋体" w:eastAsia="宋体" w:cs="宋体"/>
          <w:spacing w:val="0"/>
          <w:kern w:val="2"/>
          <w:sz w:val="21"/>
          <w:szCs w:val="21"/>
          <w:lang w:val="en-US" w:eastAsia="zh-CN"/>
        </w:rPr>
      </w:pPr>
      <w:r>
        <w:rPr>
          <w:rFonts w:hint="eastAsia" w:hAnsi="宋体" w:cs="宋体"/>
          <w:spacing w:val="0"/>
          <w:kern w:val="2"/>
          <w:sz w:val="21"/>
          <w:szCs w:val="21"/>
          <w:lang w:val="en-US" w:eastAsia="zh-CN"/>
        </w:rPr>
        <w:t xml:space="preserve">4.2.1 </w:t>
      </w:r>
      <w:r>
        <w:rPr>
          <w:rFonts w:hint="eastAsia" w:ascii="宋体" w:hAnsi="宋体" w:cs="宋体"/>
          <w:spacing w:val="0"/>
          <w:kern w:val="2"/>
          <w:sz w:val="21"/>
          <w:szCs w:val="21"/>
          <w:lang w:val="en-US" w:eastAsia="zh-CN"/>
        </w:rPr>
        <w:t>主动端</w:t>
      </w:r>
    </w:p>
    <w:p w14:paraId="6F69C364">
      <w:pPr>
        <w:pStyle w:val="2"/>
        <w:numPr>
          <w:ilvl w:val="-1"/>
          <w:numId w:val="0"/>
        </w:numPr>
        <w:ind w:firstLine="0" w:firstLineChars="0"/>
        <w:rPr>
          <w:rFonts w:hint="eastAsia" w:ascii="宋体" w:hAnsi="宋体" w:cs="宋体"/>
          <w:spacing w:val="0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cs="宋体"/>
          <w:spacing w:val="0"/>
          <w:kern w:val="2"/>
          <w:sz w:val="21"/>
          <w:szCs w:val="21"/>
          <w:lang w:val="en-US" w:eastAsia="zh-CN"/>
        </w:rPr>
        <w:t>量子服务器连接状态</w:t>
      </w:r>
    </w:p>
    <w:p w14:paraId="3C3D367A">
      <w:pPr>
        <w:pStyle w:val="2"/>
        <w:numPr>
          <w:ilvl w:val="-1"/>
          <w:numId w:val="0"/>
        </w:numPr>
        <w:ind w:firstLine="0" w:firstLineChars="0"/>
      </w:pPr>
      <w:r>
        <w:drawing>
          <wp:inline distT="0" distB="0" distL="114300" distR="114300">
            <wp:extent cx="5550535" cy="951865"/>
            <wp:effectExtent l="0" t="0" r="12065" b="13335"/>
            <wp:docPr id="147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8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0535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1B389">
      <w:pPr>
        <w:pStyle w:val="2"/>
        <w:numPr>
          <w:ilvl w:val="-1"/>
          <w:numId w:val="0"/>
        </w:numPr>
        <w:ind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量子密钥信息</w:t>
      </w:r>
    </w:p>
    <w:p w14:paraId="11B77767">
      <w:pPr>
        <w:pStyle w:val="2"/>
        <w:numPr>
          <w:ilvl w:val="-1"/>
          <w:numId w:val="0"/>
        </w:numPr>
        <w:ind w:firstLine="0" w:firstLineChars="0"/>
        <w:jc w:val="center"/>
      </w:pPr>
      <w:r>
        <w:drawing>
          <wp:inline distT="0" distB="0" distL="114300" distR="114300">
            <wp:extent cx="3469005" cy="2099945"/>
            <wp:effectExtent l="0" t="0" r="10795" b="8255"/>
            <wp:docPr id="151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83"/>
                    <pic:cNvPicPr>
                      <a:picLocks noChangeAspect="1"/>
                    </pic:cNvPicPr>
                  </pic:nvPicPr>
                  <pic:blipFill>
                    <a:blip r:embed="rId20"/>
                    <a:srcRect l="24772" t="20101" r="41418" b="5653"/>
                    <a:stretch>
                      <a:fillRect/>
                    </a:stretch>
                  </pic:blipFill>
                  <pic:spPr>
                    <a:xfrm>
                      <a:off x="0" y="0"/>
                      <a:ext cx="346900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3456A">
      <w:pPr>
        <w:pStyle w:val="2"/>
        <w:numPr>
          <w:ilvl w:val="-1"/>
          <w:numId w:val="0"/>
        </w:num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量子密钥更新情况</w:t>
      </w:r>
    </w:p>
    <w:p w14:paraId="3C713426">
      <w:pPr>
        <w:pStyle w:val="2"/>
        <w:numPr>
          <w:ilvl w:val="-1"/>
          <w:numId w:val="0"/>
        </w:numPr>
        <w:ind w:firstLine="0" w:firstLineChars="0"/>
        <w:jc w:val="center"/>
      </w:pPr>
      <w:r>
        <w:drawing>
          <wp:inline distT="0" distB="0" distL="114300" distR="114300">
            <wp:extent cx="3324225" cy="4151630"/>
            <wp:effectExtent l="0" t="0" r="0" b="0"/>
            <wp:docPr id="144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79"/>
                    <pic:cNvPicPr>
                      <a:picLocks noChangeAspect="1"/>
                    </pic:cNvPicPr>
                  </pic:nvPicPr>
                  <pic:blipFill>
                    <a:blip r:embed="rId21"/>
                    <a:srcRect l="24807" t="13746" r="48324" b="2583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421D4">
      <w:pPr>
        <w:pStyle w:val="2"/>
        <w:numPr>
          <w:ilvl w:val="-1"/>
          <w:numId w:val="0"/>
        </w:num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量子隧道状态</w:t>
      </w:r>
    </w:p>
    <w:p w14:paraId="5A3F4A22">
      <w:pPr>
        <w:numPr>
          <w:ilvl w:val="0"/>
          <w:numId w:val="0"/>
        </w:numPr>
        <w:jc w:val="center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612130" cy="712470"/>
            <wp:effectExtent l="0" t="0" r="1270" b="24130"/>
            <wp:docPr id="145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8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7E69C">
      <w:pPr>
        <w:pStyle w:val="2"/>
        <w:numPr>
          <w:ilvl w:val="0"/>
          <w:numId w:val="0"/>
        </w:numPr>
        <w:ind w:left="200" w:leftChars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5" w:type="default"/>
      <w:footerReference r:id="rId6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仿宋-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96EB4"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6F49DDC4">
    <w:pPr>
      <w:pStyle w:val="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7F374"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274306"/>
    <w:multiLevelType w:val="multilevel"/>
    <w:tmpl w:val="1727430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A63"/>
    <w:rsid w:val="000258A6"/>
    <w:rsid w:val="00043CB6"/>
    <w:rsid w:val="00092939"/>
    <w:rsid w:val="000B602E"/>
    <w:rsid w:val="000D334B"/>
    <w:rsid w:val="00126145"/>
    <w:rsid w:val="00132A73"/>
    <w:rsid w:val="00141F82"/>
    <w:rsid w:val="001767E6"/>
    <w:rsid w:val="00190A8D"/>
    <w:rsid w:val="001B21A1"/>
    <w:rsid w:val="001E0365"/>
    <w:rsid w:val="00214A63"/>
    <w:rsid w:val="002256D2"/>
    <w:rsid w:val="00235BE5"/>
    <w:rsid w:val="00244D42"/>
    <w:rsid w:val="00263C39"/>
    <w:rsid w:val="002709F6"/>
    <w:rsid w:val="002801E8"/>
    <w:rsid w:val="002C0B4D"/>
    <w:rsid w:val="002C3385"/>
    <w:rsid w:val="002D35FA"/>
    <w:rsid w:val="00312C1A"/>
    <w:rsid w:val="00312DD1"/>
    <w:rsid w:val="003140E0"/>
    <w:rsid w:val="003352F7"/>
    <w:rsid w:val="003504B5"/>
    <w:rsid w:val="00384A48"/>
    <w:rsid w:val="003B1854"/>
    <w:rsid w:val="003F58F6"/>
    <w:rsid w:val="00413229"/>
    <w:rsid w:val="0046088D"/>
    <w:rsid w:val="004946A6"/>
    <w:rsid w:val="004B56C9"/>
    <w:rsid w:val="00530EC1"/>
    <w:rsid w:val="00574EEC"/>
    <w:rsid w:val="005F12FE"/>
    <w:rsid w:val="005F56A6"/>
    <w:rsid w:val="00615CE1"/>
    <w:rsid w:val="00620346"/>
    <w:rsid w:val="00621580"/>
    <w:rsid w:val="006474BC"/>
    <w:rsid w:val="00690BB8"/>
    <w:rsid w:val="006C60A2"/>
    <w:rsid w:val="006D7CA8"/>
    <w:rsid w:val="006F6A3E"/>
    <w:rsid w:val="00771468"/>
    <w:rsid w:val="00793203"/>
    <w:rsid w:val="007A5840"/>
    <w:rsid w:val="007B5BE7"/>
    <w:rsid w:val="007C33E4"/>
    <w:rsid w:val="007E3655"/>
    <w:rsid w:val="007E771D"/>
    <w:rsid w:val="00811F3A"/>
    <w:rsid w:val="00816484"/>
    <w:rsid w:val="00833ACC"/>
    <w:rsid w:val="00867CFA"/>
    <w:rsid w:val="008A6603"/>
    <w:rsid w:val="008E3C42"/>
    <w:rsid w:val="00927952"/>
    <w:rsid w:val="00971DDC"/>
    <w:rsid w:val="00972B31"/>
    <w:rsid w:val="00990478"/>
    <w:rsid w:val="009A0F7B"/>
    <w:rsid w:val="009A2152"/>
    <w:rsid w:val="009B4E84"/>
    <w:rsid w:val="009E748B"/>
    <w:rsid w:val="00A22250"/>
    <w:rsid w:val="00A413C8"/>
    <w:rsid w:val="00A95088"/>
    <w:rsid w:val="00AA4826"/>
    <w:rsid w:val="00AC4276"/>
    <w:rsid w:val="00B12666"/>
    <w:rsid w:val="00B33389"/>
    <w:rsid w:val="00B65369"/>
    <w:rsid w:val="00B86043"/>
    <w:rsid w:val="00B90E59"/>
    <w:rsid w:val="00C50168"/>
    <w:rsid w:val="00C50F19"/>
    <w:rsid w:val="00C768A0"/>
    <w:rsid w:val="00CA3C8A"/>
    <w:rsid w:val="00DA12AB"/>
    <w:rsid w:val="00E153F6"/>
    <w:rsid w:val="00E42F2D"/>
    <w:rsid w:val="00E43842"/>
    <w:rsid w:val="00E527C0"/>
    <w:rsid w:val="00E52B5C"/>
    <w:rsid w:val="00E632BE"/>
    <w:rsid w:val="00E943EE"/>
    <w:rsid w:val="00ED404D"/>
    <w:rsid w:val="00F5014B"/>
    <w:rsid w:val="00FF0AAD"/>
    <w:rsid w:val="068B077C"/>
    <w:rsid w:val="10D76BE6"/>
    <w:rsid w:val="1706734A"/>
    <w:rsid w:val="1A924BAB"/>
    <w:rsid w:val="1D8C7BFE"/>
    <w:rsid w:val="20310DBD"/>
    <w:rsid w:val="2E5A3650"/>
    <w:rsid w:val="38BD7423"/>
    <w:rsid w:val="3FEB3F21"/>
    <w:rsid w:val="44C70D28"/>
    <w:rsid w:val="4F8D7C9A"/>
    <w:rsid w:val="519F7E57"/>
    <w:rsid w:val="69797C2C"/>
    <w:rsid w:val="7FF6B2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name="header"/>
    <w:lsdException w:qFormat="1" w:unhideWhenUsed="0"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qFormat="1" w:unhideWhenUsed="0" w:uiPriority="0" w:semiHidden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00" w:lineRule="auto"/>
      <w:jc w:val="both"/>
    </w:pPr>
    <w:rPr>
      <w:rFonts w:ascii="宋体" w:hAnsi="Times New Roman" w:eastAsia="宋体" w:cs="Times New Roman"/>
      <w:kern w:val="2"/>
      <w:sz w:val="21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spacing w:after="0" w:line="360" w:lineRule="auto"/>
      <w:ind w:left="0" w:firstLine="200"/>
    </w:pPr>
  </w:style>
  <w:style w:type="paragraph" w:styleId="3">
    <w:name w:val="Body Text Indent"/>
    <w:basedOn w:val="1"/>
    <w:qFormat/>
    <w:uiPriority w:val="0"/>
    <w:pPr>
      <w:spacing w:after="120" w:line="240" w:lineRule="atLeast"/>
      <w:ind w:left="420"/>
    </w:pPr>
  </w:style>
  <w:style w:type="paragraph" w:styleId="4">
    <w:name w:val="Balloon Text"/>
    <w:basedOn w:val="1"/>
    <w:link w:val="12"/>
    <w:unhideWhenUsed/>
    <w:qFormat/>
    <w:uiPriority w:val="99"/>
    <w:pPr>
      <w:spacing w:line="240" w:lineRule="auto"/>
    </w:pPr>
    <w:rPr>
      <w:rFonts w:ascii="Times New Roman"/>
      <w:sz w:val="18"/>
      <w:szCs w:val="18"/>
    </w:rPr>
  </w:style>
  <w:style w:type="paragraph" w:styleId="5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rFonts w:ascii="Times New Roman"/>
      <w:sz w:val="18"/>
      <w:szCs w:val="18"/>
    </w:rPr>
  </w:style>
  <w:style w:type="paragraph" w:styleId="6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/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page number"/>
    <w:basedOn w:val="9"/>
    <w:semiHidden/>
    <w:qFormat/>
    <w:uiPriority w:val="0"/>
  </w:style>
  <w:style w:type="character" w:styleId="11">
    <w:name w:val="Hyperlink"/>
    <w:basedOn w:val="9"/>
    <w:unhideWhenUsed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批注框文本 Char"/>
    <w:basedOn w:val="9"/>
    <w:link w:val="4"/>
    <w:semiHidden/>
    <w:qFormat/>
    <w:uiPriority w:val="99"/>
    <w:rPr>
      <w:kern w:val="2"/>
      <w:sz w:val="18"/>
      <w:szCs w:val="18"/>
    </w:rPr>
  </w:style>
  <w:style w:type="paragraph" w:customStyle="1" w:styleId="13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4">
    <w:name w:val="执行部门"/>
    <w:basedOn w:val="1"/>
    <w:qFormat/>
    <w:uiPriority w:val="0"/>
    <w:pPr>
      <w:autoSpaceDE w:val="0"/>
      <w:autoSpaceDN w:val="0"/>
      <w:adjustRightInd w:val="0"/>
      <w:spacing w:line="360" w:lineRule="auto"/>
      <w:jc w:val="left"/>
    </w:pPr>
    <w:rPr>
      <w:rFonts w:ascii="仿宋_GB2312" w:hAnsi="Times New Roman" w:eastAsia="仿宋_GB2312" w:cs="宋体"/>
      <w:b/>
      <w:color w:val="000000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zte</Company>
  <Pages>5</Pages>
  <Words>672</Words>
  <Characters>1999</Characters>
  <Lines>1</Lines>
  <Paragraphs>1</Paragraphs>
  <TotalTime>5</TotalTime>
  <ScaleCrop>false</ScaleCrop>
  <LinksUpToDate>false</LinksUpToDate>
  <CharactersWithSpaces>2448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2015-12-27T21:27:00Z</dcterms:created>
  <dc:creator>zter</dc:creator>
  <cp:lastModifiedBy>师尧</cp:lastModifiedBy>
  <cp:lastPrinted>2113-01-01T08:00:00Z</cp:lastPrinted>
  <dcterms:modified xsi:type="dcterms:W3CDTF">2026-04-15T17:30:45Z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5B9C6219A0CCE7DBC55ADF69474E147B_43</vt:lpwstr>
  </property>
  <property fmtid="{D5CDD505-2E9C-101B-9397-08002B2CF9AE}" pid="4" name="KSOTemplateDocerSaveRecord">
    <vt:lpwstr>eyJoZGlkIjoiMWIxMTA4NzkyZDg1MDhhNTBkMmE4NWVjZTVmYTIyM2QiLCJ1c2VySWQiOiIzOTQ5MzYyMDgifQ==</vt:lpwstr>
  </property>
</Properties>
</file>