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E293B"/>
          <w:sz w:val="32"/>
          <w:szCs w:val="32"/>
        </w:rPr>
        <w:t xml:space="preserve">INDIRA GANDHI NATIONAL OPEN UNIVERSITY</w:t>
      </w:r>
    </w:p>
    <w:p>
      <w:pPr>
        <w:spacing w:after="200" w:before="0"/>
        <w:jc w:val="center"/>
      </w:pPr>
      <w:r>
        <w:rPr>
          <w:rFonts w:ascii="Arial" w:cs="Arial" w:eastAsia="Arial" w:hAnsi="Arial"/>
          <w:b/>
          <w:bCs/>
          <w:color w:val="4338CA"/>
          <w:sz w:val="26"/>
          <w:szCs w:val="26"/>
        </w:rPr>
        <w:t xml:space="preserve">STUDY CENTRE 2033 (SC-2033)</w:t>
      </w:r>
    </w:p>
    <w:p>
      <w:pPr>
        <w:spacing w:after="400" w:before="0"/>
        <w:jc w:val="center"/>
      </w:pPr>
      <w:r>
        <w:rPr>
          <w:rFonts w:ascii="Arial" w:cs="Arial" w:eastAsia="Arial" w:hAnsi="Arial"/>
          <w:b/>
          <w:bCs/>
          <w:color w:val="334155"/>
          <w:sz w:val="22"/>
          <w:szCs w:val="22"/>
        </w:rPr>
        <w:t xml:space="preserve">ACADEMIC ASSIGNMENT INTAKE, EVALUATION &amp; FINANCIAL GOVERNANCE SYSTEM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shd w:fill="F1F5F9" w:val="clear"/>
          </w:tcPr>
          <w:p>
            <w:r>
              <w:rPr>
                <w:b/>
                <w:bCs/>
                <w:sz w:val="20"/>
                <w:szCs w:val="20"/>
              </w:rPr>
              <w:t xml:space="preserve">Application Name:</w:t>
            </w:r>
          </w:p>
        </w:tc>
        <w:tc>
          <w:tcPr>
            <w:tcW w:type="pct" w:w="3500"/>
          </w:tcPr>
          <w:p>
            <w:r>
              <w:rPr>
                <w:sz w:val="20"/>
                <w:szCs w:val="20"/>
              </w:rPr>
              <w:t xml:space="preserve">IGNOU SC-2033 Assignment Management &amp; Governance Suite</w:t>
            </w:r>
          </w:p>
        </w:tc>
      </w:tr>
      <w:tr>
        <w:tc>
          <w:tcPr>
            <w:tcW w:type="pct" w:w="1500"/>
            <w:shd w:fill="F1F5F9" w:val="clear"/>
          </w:tcPr>
          <w:p>
            <w:r>
              <w:rPr>
                <w:b/>
                <w:bCs/>
                <w:sz w:val="20"/>
                <w:szCs w:val="20"/>
              </w:rPr>
              <w:t xml:space="preserve">Target Users:</w:t>
            </w:r>
          </w:p>
        </w:tc>
        <w:tc>
          <w:tcPr>
            <w:tcW w:type="pct" w:w="3500"/>
          </w:tcPr>
          <w:p>
            <w:r>
              <w:rPr>
                <w:sz w:val="20"/>
                <w:szCs w:val="20"/>
              </w:rPr>
              <w:t xml:space="preserve">Centre Coordinator, Desk Officials, Evaluators, Regional Observers</w:t>
            </w:r>
          </w:p>
        </w:tc>
      </w:tr>
      <w:tr>
        <w:tc>
          <w:tcPr>
            <w:tcW w:type="pct" w:w="1500"/>
            <w:shd w:fill="F1F5F9" w:val="clear"/>
          </w:tcPr>
          <w:p>
            <w:r>
              <w:rPr>
                <w:b/>
                <w:bCs/>
                <w:sz w:val="20"/>
                <w:szCs w:val="20"/>
              </w:rPr>
              <w:t xml:space="preserve">Deployment Architecture:</w:t>
            </w:r>
          </w:p>
        </w:tc>
        <w:tc>
          <w:tcPr>
            <w:tcW w:type="pct" w:w="3500"/>
          </w:tcPr>
          <w:p>
            <w:r>
              <w:rPr>
                <w:sz w:val="20"/>
                <w:szCs w:val="20"/>
              </w:rPr>
              <w:t xml:space="preserve">Progressive Web App (PWA) · React 19 SPA · Offline Cache · Google Sheets Sync</w:t>
            </w:r>
          </w:p>
        </w:tc>
      </w:tr>
      <w:tr>
        <w:tc>
          <w:tcPr>
            <w:tcW w:type="pct" w:w="1500"/>
            <w:shd w:fill="F1F5F9" w:val="clear"/>
          </w:tcPr>
          <w:p>
            <w:r>
              <w:rPr>
                <w:b/>
                <w:bCs/>
                <w:sz w:val="20"/>
                <w:szCs w:val="20"/>
              </w:rPr>
              <w:t xml:space="preserve">Security Model:</w:t>
            </w:r>
          </w:p>
        </w:tc>
        <w:tc>
          <w:tcPr>
            <w:tcW w:type="pct" w:w="3500"/>
          </w:tcPr>
          <w:p>
            <w:r>
              <w:rPr>
                <w:sz w:val="20"/>
                <w:szCs w:val="20"/>
              </w:rPr>
              <w:t xml:space="preserve">Dual-Role RBAC (Coordinator PIN Challenge) · Isolated Desk Kiosk Mode</w:t>
            </w:r>
          </w:p>
        </w:tc>
      </w:tr>
    </w:tbl>
    <w:p>
      <w:pPr>
        <w:pStyle w:val="Heading1"/>
        <w:spacing w:after="150" w:before="400"/>
      </w:pPr>
      <w:r>
        <w:rPr>
          <w:b/>
          <w:bCs/>
          <w:color w:val="1E293B"/>
          <w:sz w:val="26"/>
          <w:szCs w:val="26"/>
        </w:rPr>
        <w:t xml:space="preserve">1. Executive Overview &amp; Purpose</w:t>
      </w:r>
    </w:p>
    <w:p>
      <w:pPr>
        <w:spacing w:after="150"/>
      </w:pPr>
      <w:r>
        <w:rPr>
          <w:sz w:val="21"/>
          <w:szCs w:val="21"/>
        </w:rPr>
        <w:t xml:space="preserve">The IGNOU Study Centre 2033 (SC-2033) web application was engineered to replace manual paper ledgers, fragmented spreadsheets, and error-prone handwritten receipts with a unified, tamper-evident digital operating platform. Every year, thousands of students physically submit handwritten assignment responses across hundreds of IGNOU course codes.</w:t>
      </w:r>
    </w:p>
    <w:p>
      <w:pPr>
        <w:spacing w:after="150"/>
      </w:pPr>
      <w:r>
        <w:rPr>
          <w:sz w:val="21"/>
          <w:szCs w:val="21"/>
        </w:rPr>
        <w:t xml:space="preserve">This system provides complete end-to-end statutory governance covering the entire assignment lifecycle: from the moment a student hands over physical scripts at the front intake counter, through academic evaluator allotment, grade entry, marks locking, SED Form II award sheet generation for the Regional Evaluation Centre, and statutory evaluator remuneration billing.</w:t>
      </w:r>
    </w:p>
    <w:p>
      <w:pPr>
        <w:pStyle w:val="Heading1"/>
        <w:spacing w:after="150" w:before="400"/>
      </w:pPr>
      <w:r>
        <w:rPr>
          <w:b/>
          <w:bCs/>
          <w:color w:val="1E293B"/>
          <w:sz w:val="26"/>
          <w:szCs w:val="26"/>
        </w:rPr>
        <w:t xml:space="preserve">2. Role-Based Access Control (RBAC) &amp; Persona Isolation</w:t>
      </w:r>
    </w:p>
    <w:p>
      <w:pPr>
        <w:spacing w:after="150"/>
      </w:pPr>
      <w:r>
        <w:rPr>
          <w:sz w:val="21"/>
          <w:szCs w:val="21"/>
        </w:rPr>
        <w:t xml:space="preserve">The web application implements strict institutional role separation to prevent operational clutter, unauthorized mark tampering, and premature bill modifications: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F1F5F9" w:val="clear"/>
          </w:tcPr>
          <w:p>
            <w:r>
              <w:rPr>
                <w:b/>
                <w:bCs/>
                <w:sz w:val="20"/>
                <w:szCs w:val="20"/>
              </w:rPr>
              <w:t xml:space="preserve">Functional Module</w:t>
            </w:r>
          </w:p>
        </w:tc>
        <w:tc>
          <w:tcPr>
            <w:shd w:fill="F1F5F9" w:val="clear"/>
          </w:tcPr>
          <w:p>
            <w:r>
              <w:rPr>
                <w:b/>
                <w:bCs/>
                <w:sz w:val="20"/>
                <w:szCs w:val="20"/>
              </w:rPr>
              <w:t xml:space="preserve">Desk Official Mode</w:t>
            </w:r>
          </w:p>
        </w:tc>
        <w:tc>
          <w:tcPr>
            <w:shd w:fill="F1F5F9" w:val="clear"/>
          </w:tcPr>
          <w:p>
            <w:r>
              <w:rPr>
                <w:b/>
                <w:bCs/>
                <w:sz w:val="20"/>
                <w:szCs w:val="20"/>
              </w:rPr>
              <w:t xml:space="preserve">Coordinator Mode (Admin)</w:t>
            </w:r>
          </w:p>
        </w:tc>
      </w:tr>
      <w:tr>
        <w:tc>
          <w:p>
            <w:r>
              <w:rPr>
                <w:sz w:val="19"/>
                <w:szCs w:val="19"/>
              </w:rPr>
              <w:t xml:space="preserve">Stage 1: Student Intake &amp; Desk</w:t>
            </w:r>
          </w:p>
        </w:tc>
        <w:tc>
          <w:p>
            <w:r>
              <w:rPr>
                <w:b/>
                <w:bCs/>
                <w:color w:val="166534"/>
                <w:sz w:val="19"/>
                <w:szCs w:val="19"/>
              </w:rPr>
              <w:t xml:space="preserve">ALLOWED (Primary Intake)</w:t>
            </w:r>
          </w:p>
        </w:tc>
        <w:tc>
          <w:p>
            <w:r>
              <w:rPr>
                <w:sz w:val="19"/>
                <w:szCs w:val="19"/>
              </w:rPr>
              <w:t xml:space="preserve">ALLOWED (Full Oversight)</w:t>
            </w:r>
          </w:p>
        </w:tc>
      </w:tr>
      <w:tr>
        <w:tc>
          <w:p>
            <w:r>
              <w:rPr>
                <w:sz w:val="19"/>
                <w:szCs w:val="19"/>
              </w:rPr>
              <w:t xml:space="preserve">Stage 2: Evaluation Master</w:t>
            </w:r>
          </w:p>
        </w:tc>
        <w:tc>
          <w:p>
            <w:r>
              <w:rPr>
                <w:b/>
                <w:bCs/>
                <w:color w:val="166534"/>
                <w:sz w:val="19"/>
                <w:szCs w:val="19"/>
              </w:rPr>
              <w:t xml:space="preserve">ALLOWED (Allotment / Draft Marks)</w:t>
            </w:r>
          </w:p>
        </w:tc>
        <w:tc>
          <w:p>
            <w:r>
              <w:rPr>
                <w:sz w:val="19"/>
                <w:szCs w:val="19"/>
              </w:rPr>
              <w:t xml:space="preserve">ALLOWED (Full Oversight)</w:t>
            </w:r>
          </w:p>
        </w:tc>
      </w:tr>
      <w:tr>
        <w:tc>
          <w:p>
            <w:r>
              <w:rPr>
                <w:sz w:val="19"/>
                <w:szCs w:val="19"/>
              </w:rPr>
              <w:t xml:space="preserve">Master Marks Locking</w:t>
            </w:r>
          </w:p>
        </w:tc>
        <w:tc>
          <w:p>
            <w:r>
              <w:rPr>
                <w:b/>
                <w:bCs/>
                <w:color w:val="92400E"/>
                <w:sz w:val="19"/>
                <w:szCs w:val="19"/>
              </w:rPr>
              <w:t xml:space="preserve">PIN REQUIRED (Coordinator Protection)</w:t>
            </w:r>
          </w:p>
        </w:tc>
        <w:tc>
          <w:p>
            <w:r>
              <w:rPr>
                <w:sz w:val="19"/>
                <w:szCs w:val="19"/>
              </w:rPr>
              <w:t xml:space="preserve">ALLOWED (Direct Execution)</w:t>
            </w:r>
          </w:p>
        </w:tc>
      </w:tr>
      <w:tr>
        <w:tc>
          <w:p>
            <w:r>
              <w:rPr>
                <w:sz w:val="19"/>
                <w:szCs w:val="19"/>
              </w:rPr>
              <w:t xml:space="preserve">Stage 3: SED Award Sheets</w:t>
            </w:r>
          </w:p>
        </w:tc>
        <w:tc>
          <w:p>
            <w:r>
              <w:rPr>
                <w:color w:val="991B1B"/>
                <w:sz w:val="19"/>
                <w:szCs w:val="19"/>
              </w:rPr>
              <w:t xml:space="preserve">HIDDEN from Navigation Menu</w:t>
            </w:r>
          </w:p>
        </w:tc>
        <w:tc>
          <w:p>
            <w:r>
              <w:rPr>
                <w:sz w:val="19"/>
                <w:szCs w:val="19"/>
              </w:rPr>
              <w:t xml:space="preserve">ALLOWED (Form II Gazette Generation)</w:t>
            </w:r>
          </w:p>
        </w:tc>
      </w:tr>
      <w:tr>
        <w:tc>
          <w:p>
            <w:r>
              <w:rPr>
                <w:sz w:val="19"/>
                <w:szCs w:val="19"/>
              </w:rPr>
              <w:t xml:space="preserve">Stage 4: Remuneration &amp; Bills</w:t>
            </w:r>
          </w:p>
        </w:tc>
        <w:tc>
          <w:p>
            <w:r>
              <w:rPr>
                <w:color w:val="991B1B"/>
                <w:sz w:val="19"/>
                <w:szCs w:val="19"/>
              </w:rPr>
              <w:t xml:space="preserve">HIDDEN from Navigation Menu</w:t>
            </w:r>
          </w:p>
        </w:tc>
        <w:tc>
          <w:p>
            <w:r>
              <w:rPr>
                <w:sz w:val="19"/>
                <w:szCs w:val="19"/>
              </w:rPr>
              <w:t xml:space="preserve">ALLOWED (PIN Sanction &amp; Voucher)</w:t>
            </w:r>
          </w:p>
        </w:tc>
      </w:tr>
      <w:tr>
        <w:tc>
          <w:p>
            <w:r>
              <w:rPr>
                <w:sz w:val="19"/>
                <w:szCs w:val="19"/>
              </w:rPr>
              <w:t xml:space="preserve">Secondary Tracking Registers</w:t>
            </w:r>
          </w:p>
        </w:tc>
        <w:tc>
          <w:p>
            <w:r>
              <w:rPr>
                <w:color w:val="991B1B"/>
                <w:sz w:val="19"/>
                <w:szCs w:val="19"/>
              </w:rPr>
              <w:t xml:space="preserve">HIDDEN from Navigation Menu</w:t>
            </w:r>
          </w:p>
        </w:tc>
        <w:tc>
          <w:p>
            <w:r>
              <w:rPr>
                <w:sz w:val="19"/>
                <w:szCs w:val="19"/>
              </w:rPr>
              <w:t xml:space="preserve">ALLOWED (5 Registers &amp; Evaluators)</w:t>
            </w:r>
          </w:p>
        </w:tc>
      </w:tr>
      <w:tr>
        <w:tc>
          <w:p>
            <w:r>
              <w:rPr>
                <w:sz w:val="19"/>
                <w:szCs w:val="19"/>
              </w:rPr>
              <w:t xml:space="preserve">Forensic Audit Trail</w:t>
            </w:r>
          </w:p>
        </w:tc>
        <w:tc>
          <w:p>
            <w:r>
              <w:rPr>
                <w:b/>
                <w:bCs/>
                <w:color w:val="991B1B"/>
                <w:sz w:val="19"/>
                <w:szCs w:val="19"/>
              </w:rPr>
              <w:t xml:space="preserve">FORBIDDEN &amp; Completely Hidden</w:t>
            </w:r>
          </w:p>
        </w:tc>
        <w:tc>
          <w:p>
            <w:r>
              <w:rPr>
                <w:sz w:val="19"/>
                <w:szCs w:val="19"/>
              </w:rPr>
              <w:t xml:space="preserve">ALLOWED (Immutable Event History)</w:t>
            </w:r>
          </w:p>
        </w:tc>
      </w:tr>
      <w:tr>
        <w:tc>
          <w:p>
            <w:r>
              <w:rPr>
                <w:sz w:val="19"/>
                <w:szCs w:val="19"/>
              </w:rPr>
              <w:t xml:space="preserve">System &amp; Centre Settings</w:t>
            </w:r>
          </w:p>
        </w:tc>
        <w:tc>
          <w:p>
            <w:r>
              <w:rPr>
                <w:color w:val="991B1B"/>
                <w:sz w:val="19"/>
                <w:szCs w:val="19"/>
              </w:rPr>
              <w:t xml:space="preserve">FORBIDDEN (Redirects to Intake)</w:t>
            </w:r>
          </w:p>
        </w:tc>
        <w:tc>
          <w:p>
            <w:r>
              <w:rPr>
                <w:sz w:val="19"/>
                <w:szCs w:val="19"/>
              </w:rPr>
              <w:t xml:space="preserve">ALLOWED (Sync, Rates, Session Cycles)</w:t>
            </w:r>
          </w:p>
        </w:tc>
      </w:tr>
    </w:tbl>
    <w:p>
      <w:pPr>
        <w:pStyle w:val="Heading1"/>
        <w:spacing w:after="150" w:before="400"/>
      </w:pPr>
      <w:r>
        <w:rPr>
          <w:b/>
          <w:bCs/>
          <w:color w:val="1E293B"/>
          <w:sz w:val="26"/>
          <w:szCs w:val="26"/>
        </w:rPr>
        <w:t xml:space="preserve">3. Core Operational Lifecycle: The 4 Statutory Stages</w:t>
      </w:r>
    </w:p>
    <w:p>
      <w:pPr>
        <w:pStyle w:val="Heading2"/>
        <w:spacing w:after="100" w:before="200"/>
      </w:pPr>
      <w:r>
        <w:rPr>
          <w:b/>
          <w:bCs/>
          <w:color w:val="0369A1"/>
          <w:sz w:val="22"/>
          <w:szCs w:val="22"/>
        </w:rPr>
        <w:t xml:space="preserve">Stage 1: Student Intake &amp; Desk Operation</w:t>
      </w:r>
    </w:p>
    <w:p>
      <w:pPr>
        <w:spacing w:after="100"/>
      </w:pPr>
      <w:r>
        <w:rPr>
          <w:sz w:val="20"/>
          <w:szCs w:val="20"/>
        </w:rPr>
        <w:t xml:space="preserve">• Rapid Physical Intake: Enables counter staff to register student submissions in seconds using barcode/QR scanning or keyboard entry.
• Validation Checks: Validates 9-10 digit IGNOU enrollment numbers, student names, programme codes, and course codes against the built-in IGNOU Master curriculum registry.
• Duplicate Prevention: Flags duplicate submissions for the same course in the same academic cycle (e.g., TEE DEC-2024 / JUN-2025).
• Triplicate Receipt Slip: Generates instantaneous printable acknowledgment slips: Student Copy (with verification QR code), Centre Archive Copy, and Assignment Packet Identification Tag.</w:t>
      </w:r>
    </w:p>
    <w:p>
      <w:pPr>
        <w:pStyle w:val="Heading2"/>
        <w:spacing w:after="100" w:before="200"/>
      </w:pPr>
      <w:r>
        <w:rPr>
          <w:b/>
          <w:bCs/>
          <w:color w:val="0369A1"/>
          <w:sz w:val="22"/>
          <w:szCs w:val="22"/>
        </w:rPr>
        <w:t xml:space="preserve">Stage 2: Evaluation Master &amp; Academic Grading</w:t>
      </w:r>
    </w:p>
    <w:p>
      <w:pPr>
        <w:spacing w:after="100"/>
      </w:pPr>
      <w:r>
        <w:rPr>
          <w:sz w:val="20"/>
          <w:szCs w:val="20"/>
        </w:rPr>
        <w:t xml:space="preserve">• Course-Wise Allotment: Groups received physical scripts into batches/packets and assigns approved IGNOU academic evaluators from the verified directory.
• Script Limits &amp; Deadlines: Enforces approved evaluation quotas per faculty member and monitors return turnaround times.
• Marks Entry Matrix: Structured numerical scoring interface ensuring marks comply with max scale (e.g., 0-100) and grade calculation formulas.
• Master Marks Locking: Once evaluated, scripts are finalized via Coordinator PIN challenge. Once locked, grades cannot be altered without an auditable unlock exception logged in the security ledger.</w:t>
      </w:r>
    </w:p>
    <w:p>
      <w:pPr>
        <w:pStyle w:val="Heading2"/>
        <w:spacing w:after="100" w:before="200"/>
      </w:pPr>
      <w:r>
        <w:rPr>
          <w:b/>
          <w:bCs/>
          <w:color w:val="0369A1"/>
          <w:sz w:val="22"/>
          <w:szCs w:val="22"/>
        </w:rPr>
        <w:t xml:space="preserve">Stage 3: SED Award Sheets (Form II Gazette Format)</w:t>
      </w:r>
    </w:p>
    <w:p>
      <w:pPr>
        <w:spacing w:after="100"/>
      </w:pPr>
      <w:r>
        <w:rPr>
          <w:sz w:val="20"/>
          <w:szCs w:val="20"/>
        </w:rPr>
        <w:t xml:space="preserve">• Standard IGNOU SED Form II: Formats marks into statutory Student Evaluation Division (SED) award sheets ready for regional centre submission.
• Course &amp; Batch Tabulation: Automatically arranges candidate enrollments, marks in figures, marks in words, status (Pass/Fail), and evaluator credentials.
• High-Fidelity PDF &amp; Excel Export: Produces official multi-page award sheets complete with institutional headers, study centre seal, and coordinator signatures.
• Dispatch Docket Log: Logs Speed Post/Courier tracking numbers, date of dispatch, and regional evaluation centre consignment receipts.</w:t>
      </w:r>
    </w:p>
    <w:p>
      <w:pPr>
        <w:pStyle w:val="Heading2"/>
        <w:spacing w:after="100" w:before="200"/>
      </w:pPr>
      <w:r>
        <w:rPr>
          <w:b/>
          <w:bCs/>
          <w:color w:val="0369A1"/>
          <w:sz w:val="22"/>
          <w:szCs w:val="22"/>
        </w:rPr>
        <w:t xml:space="preserve">Stage 4: Remuneration Billing &amp; Financial Settlement</w:t>
      </w:r>
    </w:p>
    <w:p>
      <w:pPr>
        <w:spacing w:after="100"/>
      </w:pPr>
      <w:r>
        <w:rPr>
          <w:sz w:val="20"/>
          <w:szCs w:val="20"/>
        </w:rPr>
        <w:t xml:space="preserve">• Automated Voucher Generation: Computes evaluation remuneration based on IGNOU statutory remuneration rules (per script rate, e.g., ₹25-₹35, plus approved postal/conveyance allowances).
• Tax &amp; Bank Profiling: Stores IFSC codes, bank account details, and PAN numbers securely for Direct Benefit Transfer (DBT).
• Sanction Order Generation: Formats printable remuneration claim vouchers with statutory certificate of evaluation.
• Coordinator Protection: Desk officials are barred from creating or releasing payment vouchers without Coordinator PIN authentication.</w:t>
      </w:r>
    </w:p>
    <w:p>
      <w:pPr>
        <w:pStyle w:val="Heading1"/>
        <w:spacing w:after="150" w:before="400"/>
      </w:pPr>
      <w:r>
        <w:rPr>
          <w:b/>
          <w:bCs/>
          <w:color w:val="1E293B"/>
          <w:sz w:val="26"/>
          <w:szCs w:val="26"/>
        </w:rPr>
        <w:t xml:space="preserve">4. Key Architectural &amp; Supporting Features</w:t>
      </w:r>
    </w:p>
    <w:p>
      <w:pPr>
        <w:spacing w:after="100"/>
      </w:pPr>
      <w:r>
        <w:rPr>
          <w:sz w:val="20"/>
          <w:szCs w:val="20"/>
        </w:rPr>
        <w:t xml:space="preserve">A. Progressive Web App (PWA) &amp; Offline Capability
• 100% Offline Resilience: Operates smoothly during internet outages at the front counter. Submissions and evaluations are cached in browser storage and queue-synced when connection returns.
• Dual-Location In-App Install Button: Prominently displayed in both the top Header navigation bar and the left Sidebar navigation rail with warm amber accent styling.
• Interactive Guide: Includes step-by-step modal guide for iOS Safari ("Add to Home Screen") and Desktop Chrome/Edge dock pinning.
• "App Guide" State: Automatically updates label to "App Guide" when running as an installed standalone desktop or mobile application.
B. Google Sheets Cloud Synchronization Bridge
• Zero-Cost Cloud Database: Connects to a master Google Spreadsheet via a secure Google Apps Script webhook (`Code.gs`).
• Bi-Directional Sync: Pushes physical intake records, evaluation results, and bills directly to institutionally shared Google Sheets in real time.
• Single-Click Sync &amp; Auto-Recovery: Provides quick manual sync triggers in both header and sidebar, accompanied by visual connection indicators.
C. Forensic Security Audit Trail
• Immutable Ledger: Records every single mutation (intake, mark edit, lock, unlock challenge, bill sanction, data export) with millisecond timestamps, user persona, and before/after values.
• Confidential to Coordinator: Desk officials cannot view the forensic trail, guaranteeing that counter staff cannot audit administrator oversight or tamper with logs.
D. Kiosk Mode &amp; Terminal URL Protection
• Direct URL Lock: Supports `?mode=desk_terminal` for counter kiosk laptops, locking the UI into Desk Official mode without role-switcher controls.
• Auto-Redirection Guard: Bypassing attempts to access settings, remuneration, or audit logs automatically redirect the terminal to Stage 1 (Intake Desk).</w:t>
      </w:r>
    </w:p>
    <w:p>
      <w:pPr>
        <w:pStyle w:val="Heading1"/>
        <w:spacing w:after="150" w:before="400"/>
      </w:pPr>
      <w:r>
        <w:rPr>
          <w:b/>
          <w:bCs/>
          <w:color w:val="1E293B"/>
          <w:sz w:val="26"/>
          <w:szCs w:val="26"/>
        </w:rPr>
        <w:t xml:space="preserve">5. Technology Stack &amp; Implementation Architecture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F1F5F9" w:val="clear"/>
          </w:tcPr>
          <w:p>
            <w:r>
              <w:rPr>
                <w:b/>
                <w:bCs/>
                <w:sz w:val="20"/>
                <w:szCs w:val="20"/>
              </w:rPr>
              <w:t xml:space="preserve">Layer / Component</w:t>
            </w:r>
          </w:p>
        </w:tc>
        <w:tc>
          <w:tcPr>
            <w:shd w:fill="F1F5F9" w:val="clear"/>
          </w:tcPr>
          <w:p>
            <w:r>
              <w:rPr>
                <w:b/>
                <w:bCs/>
                <w:sz w:val="20"/>
                <w:szCs w:val="20"/>
              </w:rPr>
              <w:t xml:space="preserve">Technology / Implementation</w:t>
            </w:r>
          </w:p>
        </w:tc>
        <w:tc>
          <w:tcPr>
            <w:shd w:fill="F1F5F9" w:val="clear"/>
          </w:tcPr>
          <w:p>
            <w:r>
              <w:rPr>
                <w:b/>
                <w:bCs/>
                <w:sz w:val="20"/>
                <w:szCs w:val="20"/>
              </w:rPr>
              <w:t xml:space="preserve">Key Responsibility</w:t>
            </w:r>
          </w:p>
        </w:tc>
      </w:tr>
      <w:tr>
        <w:tc>
          <w:p>
            <w:r>
              <w:rPr>
                <w:sz w:val="19"/>
                <w:szCs w:val="19"/>
              </w:rPr>
              <w:t xml:space="preserve">Frontend Core</w:t>
            </w:r>
          </w:p>
        </w:tc>
        <w:tc>
          <w:p>
            <w:r>
              <w:rPr>
                <w:sz w:val="19"/>
                <w:szCs w:val="19"/>
              </w:rPr>
              <w:t xml:space="preserve">React 19 + TypeScript 5.8</w:t>
            </w:r>
          </w:p>
        </w:tc>
        <w:tc>
          <w:p>
            <w:r>
              <w:rPr>
                <w:sz w:val="19"/>
                <w:szCs w:val="19"/>
              </w:rPr>
              <w:t xml:space="preserve">Component hierarchy, state stores, type safety</w:t>
            </w:r>
          </w:p>
        </w:tc>
      </w:tr>
      <w:tr>
        <w:tc>
          <w:p>
            <w:r>
              <w:rPr>
                <w:sz w:val="19"/>
                <w:szCs w:val="19"/>
              </w:rPr>
              <w:t xml:space="preserve">Build &amp; Bundler</w:t>
            </w:r>
          </w:p>
        </w:tc>
        <w:tc>
          <w:p>
            <w:r>
              <w:rPr>
                <w:sz w:val="19"/>
                <w:szCs w:val="19"/>
              </w:rPr>
              <w:t xml:space="preserve">Vite 6 + ESBuild + TSX</w:t>
            </w:r>
          </w:p>
        </w:tc>
        <w:tc>
          <w:p>
            <w:r>
              <w:rPr>
                <w:sz w:val="19"/>
                <w:szCs w:val="19"/>
              </w:rPr>
              <w:t xml:space="preserve">Instant HMR, production bundling, server proxy</w:t>
            </w:r>
          </w:p>
        </w:tc>
      </w:tr>
      <w:tr>
        <w:tc>
          <w:p>
            <w:r>
              <w:rPr>
                <w:sz w:val="19"/>
                <w:szCs w:val="19"/>
              </w:rPr>
              <w:t xml:space="preserve">Styling &amp; Design</w:t>
            </w:r>
          </w:p>
        </w:tc>
        <w:tc>
          <w:p>
            <w:r>
              <w:rPr>
                <w:sz w:val="19"/>
                <w:szCs w:val="19"/>
              </w:rPr>
              <w:t xml:space="preserve">Tailwind CSS v4 (Design Constitution)</w:t>
            </w:r>
          </w:p>
        </w:tc>
        <w:tc>
          <w:p>
            <w:r>
              <w:rPr>
                <w:sz w:val="19"/>
                <w:szCs w:val="19"/>
              </w:rPr>
              <w:t xml:space="preserve">Zero-pill metadata, high density, accessible tokens</w:t>
            </w:r>
          </w:p>
        </w:tc>
      </w:tr>
      <w:tr>
        <w:tc>
          <w:p>
            <w:r>
              <w:rPr>
                <w:sz w:val="19"/>
                <w:szCs w:val="19"/>
              </w:rPr>
              <w:t xml:space="preserve">Document Generation</w:t>
            </w:r>
          </w:p>
        </w:tc>
        <w:tc>
          <w:p>
            <w:r>
              <w:rPr>
                <w:sz w:val="19"/>
                <w:szCs w:val="19"/>
              </w:rPr>
              <w:t xml:space="preserve">jsPDF + AutoTable + docx</w:t>
            </w:r>
          </w:p>
        </w:tc>
        <w:tc>
          <w:p>
            <w:r>
              <w:rPr>
                <w:sz w:val="19"/>
                <w:szCs w:val="19"/>
              </w:rPr>
              <w:t xml:space="preserve">SED Form II PDF, Remuneration Bills, Word Blueprint</w:t>
            </w:r>
          </w:p>
        </w:tc>
      </w:tr>
      <w:tr>
        <w:tc>
          <w:p>
            <w:r>
              <w:rPr>
                <w:sz w:val="19"/>
                <w:szCs w:val="19"/>
              </w:rPr>
              <w:t xml:space="preserve">Offline &amp; PWA</w:t>
            </w:r>
          </w:p>
        </w:tc>
        <w:tc>
          <w:p>
            <w:r>
              <w:rPr>
                <w:sz w:val="19"/>
                <w:szCs w:val="19"/>
              </w:rPr>
              <w:t xml:space="preserve">Service Worker + Web App Manifest</w:t>
            </w:r>
          </w:p>
        </w:tc>
        <w:tc>
          <w:p>
            <w:r>
              <w:rPr>
                <w:sz w:val="19"/>
                <w:szCs w:val="19"/>
              </w:rPr>
              <w:t xml:space="preserve">Standalone installation, background caching</w:t>
            </w:r>
          </w:p>
        </w:tc>
      </w:tr>
      <w:tr>
        <w:tc>
          <w:p>
            <w:r>
              <w:rPr>
                <w:sz w:val="19"/>
                <w:szCs w:val="19"/>
              </w:rPr>
              <w:t xml:space="preserve">Cloud Synchronization</w:t>
            </w:r>
          </w:p>
        </w:tc>
        <w:tc>
          <w:p>
            <w:r>
              <w:rPr>
                <w:sz w:val="19"/>
                <w:szCs w:val="19"/>
              </w:rPr>
              <w:t xml:space="preserve">Google Apps Script Webhook</w:t>
            </w:r>
          </w:p>
        </w:tc>
        <w:tc>
          <w:p>
            <w:r>
              <w:rPr>
                <w:sz w:val="19"/>
                <w:szCs w:val="19"/>
              </w:rPr>
              <w:t xml:space="preserve">Bi-directional spreadsheet sync without database fees</w:t>
            </w:r>
          </w:p>
        </w:tc>
      </w:tr>
    </w:tbl>
    <w:p>
      <w:pPr>
        <w:spacing w:after="100" w:before="500"/>
      </w:pPr>
      <w:r>
        <w:rPr>
          <w:b/>
          <w:bCs/>
          <w:color w:val="1E293B"/>
          <w:sz w:val="24"/>
          <w:szCs w:val="24"/>
        </w:rPr>
        <w:t xml:space="preserve">6. Institutional Sign-Off &amp; Verification</w:t>
      </w:r>
    </w:p>
    <w:p>
      <w:pPr>
        <w:spacing w:after="200"/>
      </w:pPr>
      <w:r>
        <w:rPr>
          <w:sz w:val="20"/>
          <w:szCs w:val="20"/>
        </w:rPr>
        <w:t xml:space="preserve">This system blueprint certifies the operational architecture and governance safeguards implemented for Indira Gandhi National Open University (IGNOU) Study Centre 2033. All workflows strictly conform to IGNOU statutory assignment handling norms, evaluation remuneration frameworks, and regional centre award transmission requirements.</w:t>
      </w:r>
    </w:p>
    <w:p>
      <w:pPr>
        <w:spacing w:before="300"/>
      </w:pPr>
      <w:r>
        <w:rPr>
          <w:b/>
          <w:bCs/>
          <w:sz w:val="20"/>
          <w:szCs w:val="20"/>
        </w:rPr>
        <w:t xml:space="preserve">________________________________________
</w:t>
      </w:r>
      <w:r>
        <w:rPr>
          <w:color w:val="475569"/>
          <w:sz w:val="20"/>
          <w:szCs w:val="20"/>
        </w:rPr>
        <w:t xml:space="preserve">Study Centre Coordinator / Regional Director
IGNOU Study Centre 2033
Date of Commissioning: October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Indira Gandhi National Open University · Study Centre 2033 · Confidential Operational Document · Page </w:t>
    </w:r>
    <w:r>
      <w:rPr>
        <w:rFonts w:ascii="Arial" w:cs="Arial" w:eastAsia="Arial" w:hAnsi="Arial"/>
        <w:color w:val="94A3B8"/>
        <w:sz w:val="16"/>
        <w:szCs w:val="16"/>
      </w:rPr>
      <w:fldChar w:fldCharType="begin"/>
    </w:r>
    <w:r>
      <w:rPr>
        <w:rFonts w:ascii="Arial" w:cs="Arial" w:eastAsia="Arial" w:hAnsi="Arial"/>
        <w:color w:val="94A3B8"/>
        <w:sz w:val="16"/>
        <w:szCs w:val="16"/>
      </w:rPr>
      <w:instrText xml:space="preserve">PAGE</w:instrText>
    </w:r>
    <w:r>
      <w:rPr>
        <w:rFonts w:ascii="Arial" w:cs="Arial" w:eastAsia="Arial" w:hAnsi="Arial"/>
        <w:color w:val="94A3B8"/>
        <w:sz w:val="16"/>
        <w:szCs w:val="16"/>
      </w:rPr>
      <w:fldChar w:fldCharType="separate"/>
    </w:r>
    <w:r>
      <w:rPr>
        <w:rFonts w:ascii="Arial" w:cs="Arial" w:eastAsia="Arial" w:hAnsi="Arial"/>
        <w:color w:val="94A3B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8"/>
        <w:szCs w:val="18"/>
      </w:rPr>
      <w:t xml:space="preserve">IGNOU SC-2033 Web Application System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2026-10-23T04:36:27.447Z</dcterms:created>
  <dcterms:modified xsi:type="dcterms:W3CDTF">2026-10-23T04:36:27.448Z</dcterms:modified>
</cp:coreProperties>
</file>

<file path=docProps/custom.xml><?xml version="1.0" encoding="utf-8"?>
<Properties xmlns="http://schemas.openxmlformats.org/officeDocument/2006/custom-properties" xmlns:vt="http://schemas.openxmlformats.org/officeDocument/2006/docPropsVTypes"/>
</file>