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A7B3" w14:textId="77777777" w:rsidR="0003309E" w:rsidRDefault="0003309E" w:rsidP="0003309E"/>
    <w:p w14:paraId="682A4F9F"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7A18FB98" w14:textId="77777777" w:rsidR="0003309E" w:rsidRDefault="0003309E" w:rsidP="0003309E">
                              <w:pPr>
                                <w:spacing w:after="0" w:line="240" w:lineRule="auto"/>
                                <w:rPr>
                                  <w:b/>
                                  <w:color w:val="FF0000"/>
                                  <w:sz w:val="48"/>
                                  <w:szCs w:val="48"/>
                                </w:rPr>
                              </w:pPr>
                            </w:p>
                            <w:p w14:paraId="2B78E32B"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7AFA04B"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7A18FB98" w14:textId="77777777" w:rsidR="0003309E" w:rsidRDefault="0003309E" w:rsidP="0003309E">
                        <w:pPr>
                          <w:spacing w:after="0" w:line="240" w:lineRule="auto"/>
                          <w:rPr>
                            <w:b/>
                            <w:color w:val="FF0000"/>
                            <w:sz w:val="48"/>
                            <w:szCs w:val="48"/>
                          </w:rPr>
                        </w:pPr>
                      </w:p>
                      <w:p w14:paraId="2B78E32B"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7AFA04B"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A3D7F8C" w14:textId="77777777" w:rsidR="0003309E" w:rsidRDefault="0003309E" w:rsidP="0003309E">
      <w:pPr>
        <w:rPr>
          <w:rFonts w:cs="Calibri Light"/>
          <w:color w:val="595959" w:themeColor="text1" w:themeTint="A6"/>
          <w:sz w:val="24"/>
          <w:szCs w:val="24"/>
          <w:lang w:val="es-ES"/>
        </w:rPr>
      </w:pPr>
    </w:p>
    <w:p w14:paraId="6452F034" w14:textId="77777777" w:rsidR="0003309E" w:rsidRDefault="0003309E" w:rsidP="0003309E">
      <w:pPr>
        <w:rPr>
          <w:rFonts w:cs="Calibri Light"/>
          <w:color w:val="595959" w:themeColor="text1" w:themeTint="A6"/>
          <w:sz w:val="24"/>
          <w:szCs w:val="24"/>
          <w:lang w:val="es-ES"/>
        </w:rPr>
      </w:pPr>
    </w:p>
    <w:p w14:paraId="5CD5ECA1" w14:textId="77777777" w:rsidR="0003309E" w:rsidRDefault="0003309E" w:rsidP="0003309E">
      <w:pPr>
        <w:rPr>
          <w:rFonts w:cs="Calibri Light"/>
          <w:color w:val="595959" w:themeColor="text1" w:themeTint="A6"/>
          <w:sz w:val="24"/>
          <w:szCs w:val="24"/>
          <w:lang w:val="es-ES"/>
        </w:rPr>
      </w:pPr>
    </w:p>
    <w:p w14:paraId="15E3D25A" w14:textId="77777777" w:rsidR="0003309E" w:rsidRDefault="0003309E" w:rsidP="0003309E">
      <w:pPr>
        <w:rPr>
          <w:rFonts w:cs="Calibri Light"/>
          <w:color w:val="595959" w:themeColor="text1" w:themeTint="A6"/>
          <w:sz w:val="24"/>
          <w:szCs w:val="24"/>
          <w:lang w:val="es-ES"/>
        </w:rPr>
      </w:pPr>
    </w:p>
    <w:p w14:paraId="600995D1" w14:textId="77777777" w:rsidR="0003309E" w:rsidRDefault="0003309E" w:rsidP="0003309E">
      <w:pPr>
        <w:rPr>
          <w:rFonts w:cs="Calibri Light"/>
          <w:color w:val="595959" w:themeColor="text1" w:themeTint="A6"/>
          <w:sz w:val="24"/>
          <w:szCs w:val="24"/>
          <w:lang w:val="es-ES"/>
        </w:rPr>
      </w:pPr>
    </w:p>
    <w:p w14:paraId="6AC56BE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2112996F" w14:textId="77777777" w:rsidTr="00C5122E">
        <w:trPr>
          <w:trHeight w:val="440"/>
        </w:trPr>
        <w:tc>
          <w:tcPr>
            <w:tcW w:w="9639" w:type="dxa"/>
            <w:vAlign w:val="center"/>
          </w:tcPr>
          <w:p w14:paraId="32CA9714"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29B5A400" w14:textId="77777777" w:rsidTr="00C5122E">
        <w:trPr>
          <w:trHeight w:val="800"/>
        </w:trPr>
        <w:tc>
          <w:tcPr>
            <w:tcW w:w="9639" w:type="dxa"/>
            <w:shd w:val="clear" w:color="auto" w:fill="D9E2F3" w:themeFill="accent1" w:themeFillTint="33"/>
            <w:vAlign w:val="center"/>
          </w:tcPr>
          <w:p w14:paraId="6194EF85"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38614FF2" w14:textId="77777777" w:rsidR="0003309E" w:rsidRDefault="0003309E" w:rsidP="0003309E">
      <w:pPr>
        <w:spacing w:after="0" w:line="240" w:lineRule="auto"/>
        <w:rPr>
          <w:rFonts w:cs="Calibri Light"/>
          <w:color w:val="595959" w:themeColor="text1" w:themeTint="A6"/>
          <w:sz w:val="24"/>
          <w:szCs w:val="24"/>
          <w:lang w:val="es-ES"/>
        </w:rPr>
      </w:pPr>
    </w:p>
    <w:p w14:paraId="0844B662"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1601BAD6" w14:textId="77777777" w:rsidTr="000A1331">
        <w:tc>
          <w:tcPr>
            <w:tcW w:w="2528" w:type="dxa"/>
            <w:vAlign w:val="center"/>
          </w:tcPr>
          <w:p w14:paraId="4F157B4F"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62857E6"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Resumen Ejecutivo del Sprint de Construcción (Fase 2):</w:t>
            </w:r>
          </w:p>
          <w:p w14:paraId="54C0CFFF"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Durante el ciclo de desarrollo de la Fase 2, extendido entre el 07 de septiembre y el 11 de octubre de 2026 (5 semanas de trabajo ágil), el equipo NovaFit materializó satisfactoriamente la totalidad de los componentes centrales del software bajo una arquitectura SaaS multi-inquilino (multi-tenant) distribuida en la nube, cumpliendo con los objetivos específicos y alcanzando un 100% de aprobación en el Plan de Pruebas.</w:t>
            </w:r>
          </w:p>
          <w:p w14:paraId="03F84162"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1. Backend API REST y Seguridad Perimetral: </w:t>
            </w:r>
            <w:r>
              <w:rPr>
                <w:rFonts w:ascii="Calibri" w:hAnsi="Calibri"/>
                <w:color w:val="262626"/>
                <w:sz w:val="21"/>
                <w:szCs w:val="21"/>
              </w:rPr>
              <w:t>Se implementó y desplegó en producción (Render) un servicio backend de alto rendimiento en FastAPI con 15 grupos de endpoints documentados de forma viva en Swagger UI (/docs). Se incorporó seguridad perimetral mediante autenticación JWT, cifrado criptográfico de credenciales con Bcrypt, control de acceso basado en roles jerárquicos (RBAC: SuperAdmin, BranchAdmin, Trainer y Athlete) y middleware para aislamiento forzoso de datos por sucursal (branch_id).</w:t>
            </w:r>
          </w:p>
          <w:p w14:paraId="65F0F49C"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2. Base de Datos Relacional y Migraciones: </w:t>
            </w:r>
            <w:r>
              <w:rPr>
                <w:rFonts w:ascii="Calibri" w:hAnsi="Calibri"/>
                <w:color w:val="262626"/>
                <w:sz w:val="21"/>
                <w:szCs w:val="21"/>
              </w:rPr>
              <w:t>En conjunto con el DBA se modeló e instanció la base de datos PostgreSQL 16 en Supabase, normalizada en Tercera Forma Normal (3FN) con 35 tablas relacionales. Se versionaron las estructuras con Alembic y SQLAlchemy 2.0 asíncrono, protegiendo las transacciones financieras con reglas de integridad estricta (ON DELETE RESTRICT).</w:t>
            </w:r>
          </w:p>
          <w:p w14:paraId="67E504B9"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3. Módulo de Facturación y Pasarela Mercado Pago: </w:t>
            </w:r>
            <w:r>
              <w:rPr>
                <w:rFonts w:ascii="Calibri" w:hAnsi="Calibri"/>
                <w:color w:val="262626"/>
                <w:sz w:val="21"/>
                <w:szCs w:val="21"/>
              </w:rPr>
              <w:t>Se integró Mercado Pago Checkout Pro para emisión digital de cobros de membresías (mensual, trimestral y anual) y un endpoint de Webhooks IPN idempotente con validación de firma criptográfica y transacciones atómicas, permitiendo la activación y renovación desatendida de suscripciones.</w:t>
            </w:r>
          </w:p>
          <w:p w14:paraId="57F3174E"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4. Motor Analítico de Fatiga ACWR y Prevención de Lesiones: </w:t>
            </w:r>
            <w:r>
              <w:rPr>
                <w:rFonts w:ascii="Calibri" w:hAnsi="Calibri"/>
                <w:color w:val="262626"/>
                <w:sz w:val="21"/>
                <w:szCs w:val="21"/>
              </w:rPr>
              <w:t xml:space="preserve">Se construyó el algoritmo predictivo ACWR (Acute:Chronic Workload Ratio), calculando la carga aguda móvil (7 días) versus la carga crónica móvil (28 días) a partir de las sesiones </w:t>
            </w:r>
            <w:r>
              <w:rPr>
                <w:rFonts w:ascii="Calibri" w:hAnsi="Calibri"/>
                <w:color w:val="262626"/>
                <w:sz w:val="21"/>
                <w:szCs w:val="21"/>
              </w:rPr>
              <w:lastRenderedPageBreak/>
              <w:t>registradas (RPE × volumen). El sistema clasifica atletas en 'Riesgo' cuando el ratio supera 1.5 y despacha alertas automáticas multicanal.</w:t>
            </w:r>
          </w:p>
          <w:p w14:paraId="23D1ECF8"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5. Mensajería Transaccional Segura (Zoho Mail REST API con OAuth2): </w:t>
            </w:r>
            <w:r>
              <w:rPr>
                <w:rFonts w:ascii="Calibri" w:hAnsi="Calibri"/>
                <w:color w:val="262626"/>
                <w:sz w:val="21"/>
                <w:szCs w:val="21"/>
              </w:rPr>
              <w:t>Frente a restricciones de puertos SMTP en Render, se migró a la API REST oficial de Zoho Mail bajo autenticación OAuth2 de servidor a servidor, logrando un despacho asíncrono y resiliente de correos de bienvenida, comprobantes de pago y alertas biométricas.</w:t>
            </w:r>
          </w:p>
          <w:p w14:paraId="477CB392"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6. Panel Web Administrativo y App Móvil: </w:t>
            </w:r>
            <w:r>
              <w:rPr>
                <w:rFonts w:ascii="Calibri" w:hAnsi="Calibri"/>
                <w:color w:val="262626"/>
                <w:sz w:val="21"/>
                <w:szCs w:val="21"/>
              </w:rPr>
              <w:t>Se desplegó en Vercel el frontend administrativo (React 18 + Vite) con Dashboard ejecutivo de KPIs, gestión de deportistas y catálogo de ejercicios. Paralelamente, se compiló el paquete Android APK de la aplicación móvil (React Native + Expo), integrando ejecución de series, captura de RPE, caché local de animaciones de ejercicios y el componente ServerWakeUp para mitigar cold starts.</w:t>
            </w:r>
          </w:p>
        </w:tc>
      </w:tr>
      <w:tr w:rsidR="0003309E" w14:paraId="225609DB" w14:textId="77777777" w:rsidTr="000A1331">
        <w:trPr>
          <w:trHeight w:val="1247"/>
        </w:trPr>
        <w:tc>
          <w:tcPr>
            <w:tcW w:w="2528" w:type="dxa"/>
            <w:vAlign w:val="center"/>
          </w:tcPr>
          <w:p w14:paraId="5B69729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775D01CF"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Ajustes a los Objetivos del Proyecto (Aprobados en SC-01):</w:t>
            </w:r>
          </w:p>
          <w:p w14:paraId="461B59EF"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En el inicio de la Fase 2, se formalizó la sustitución del desarrollo de una aplicación de escritorio monolítica tradicional (planificada preliminarmente en Fase 1) por un ecosistema Cloud-Native desacoplado: una plataforma Web administrativa multi-inquilino y una aplicación móvil para deportistas, interconectadas mediante una API REST en la nube. Este ajuste permitió alinear el objetivo del proyecto con las tendencias modernas de software SaaS en la industria del acondicionamiento físico, garantizando accesibilidad multiplataforma en sala de entrenamiento y escalabilidad técnica.</w:t>
            </w:r>
          </w:p>
        </w:tc>
      </w:tr>
      <w:tr w:rsidR="0003309E" w14:paraId="349A08AA" w14:textId="77777777" w:rsidTr="000A1331">
        <w:trPr>
          <w:trHeight w:val="939"/>
        </w:trPr>
        <w:tc>
          <w:tcPr>
            <w:tcW w:w="2528" w:type="dxa"/>
            <w:vAlign w:val="center"/>
          </w:tcPr>
          <w:p w14:paraId="59C4DCD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70590C7A"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Marco Metodológico de Ejecución (Scrum y Gestión de Ingeniería):</w:t>
            </w:r>
          </w:p>
          <w:p w14:paraId="2340A580"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Se adoptó el marco de trabajo ágil Scrum organizado en un sprint intensivo de 5 semanas, con revisiones quincenales y ceremonias técnicas de sincronización registradas formalmente en minutas de portafolio (APT-04 a APT-06). La ejecución se estructuró en base a la Matriz RACI, delimitando responsabilidades claras entre los 5 integrantes (Backend, DBA, Frontend/Mobile, QA y PM/Tech Lead).</w:t>
            </w:r>
          </w:p>
          <w:p w14:paraId="0219D8AD"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Para asegurar la gobernanza del proyecto, se administró activamente la Matriz de Gestión de Riesgos (12 riesgos identificados, monitoreados y mitigados al 100%) y la Matriz de Control de Cambios (10 solicitudes de cambio evaluadas y registradas formalmente).</w:t>
            </w:r>
          </w:p>
        </w:tc>
      </w:tr>
      <w:tr w:rsidR="0003309E" w14:paraId="527D1B7C" w14:textId="77777777" w:rsidTr="000A1331">
        <w:trPr>
          <w:trHeight w:val="2377"/>
        </w:trPr>
        <w:tc>
          <w:tcPr>
            <w:tcW w:w="2528" w:type="dxa"/>
            <w:vAlign w:val="center"/>
          </w:tcPr>
          <w:p w14:paraId="144B34D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43790E6"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Evidencias Técnicas Verificables Presentadas en Fase 2:</w:t>
            </w:r>
          </w:p>
          <w:p w14:paraId="02BE8B25"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1. Backend API REST en Producción (Render): </w:t>
            </w:r>
            <w:r>
              <w:rPr>
                <w:rFonts w:ascii="Calibri" w:hAnsi="Calibri"/>
                <w:color w:val="262626"/>
                <w:sz w:val="21"/>
                <w:szCs w:val="21"/>
              </w:rPr>
              <w:t>Endpoints activos y documentados en Swagger UI interactivo, integrando FastAPI, SQLAlchemy 2.0 y esquemas Pydantic.</w:t>
            </w:r>
          </w:p>
          <w:p w14:paraId="62ECB7C5"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2. Panel Web Administrativo (Vercel): </w:t>
            </w:r>
            <w:r>
              <w:rPr>
                <w:rFonts w:ascii="Calibri" w:hAnsi="Calibri"/>
                <w:color w:val="262626"/>
                <w:sz w:val="21"/>
                <w:szCs w:val="21"/>
              </w:rPr>
              <w:t>Aplicación web desplegada y funcional con autenticación multi-rol, Dashboard de sucursal, facturación y catálogo de ejercicios.</w:t>
            </w:r>
          </w:p>
          <w:p w14:paraId="2E52FCA7"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3. Aplicación Móvil Android (APK): </w:t>
            </w:r>
            <w:r>
              <w:rPr>
                <w:rFonts w:ascii="Calibri" w:hAnsi="Calibri"/>
                <w:color w:val="262626"/>
                <w:sz w:val="21"/>
                <w:szCs w:val="21"/>
              </w:rPr>
              <w:t>Paquete compilado con EAS Build instalable en dispositivos Android, con captura de RPE y caché de medios.</w:t>
            </w:r>
          </w:p>
          <w:p w14:paraId="40B3555B"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4. Base de Datos Relacional (Supabase): </w:t>
            </w:r>
            <w:r>
              <w:rPr>
                <w:rFonts w:ascii="Calibri" w:hAnsi="Calibri"/>
                <w:color w:val="262626"/>
                <w:sz w:val="21"/>
                <w:szCs w:val="21"/>
              </w:rPr>
              <w:t>Esquema relacional de 35 tablas en PostgreSQL 16 con llaves foráneas, índices compuestos y script schema.sql.</w:t>
            </w:r>
          </w:p>
          <w:p w14:paraId="3ADE50DC"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5. Documentación de Ingeniería de Software: </w:t>
            </w:r>
            <w:r>
              <w:rPr>
                <w:rFonts w:ascii="Calibri" w:hAnsi="Calibri"/>
                <w:color w:val="262626"/>
                <w:sz w:val="21"/>
                <w:szCs w:val="21"/>
              </w:rPr>
              <w:t>Documento de Arquitectura de Software (DAS v2.0), Diccionario de Datos normalizado, Matriz RACI, Matriz de Control de Cambios, Matriz de Riesgos y Minutas de reunión.</w:t>
            </w:r>
          </w:p>
          <w:p w14:paraId="7DD0E8BA"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lastRenderedPageBreak/>
              <w:t xml:space="preserve">6. Resguardo de Calidad y Pruebas: </w:t>
            </w:r>
            <w:r>
              <w:rPr>
                <w:rFonts w:ascii="Calibri" w:hAnsi="Calibri"/>
                <w:color w:val="262626"/>
                <w:sz w:val="21"/>
                <w:szCs w:val="21"/>
              </w:rPr>
              <w:t>Ejecución y certificación de los 16 casos de prueba del Plan de Pruebas de Software NovaFit con 100% de aprobación, validando la integridad contable, seguridad perimetral, idempotencia en pagos y precisión matemática del motor ACWR.</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6616FF22" w14:textId="77777777" w:rsidTr="000A1331">
        <w:trPr>
          <w:trHeight w:val="440"/>
        </w:trPr>
        <w:tc>
          <w:tcPr>
            <w:tcW w:w="9640" w:type="dxa"/>
            <w:vAlign w:val="center"/>
          </w:tcPr>
          <w:p w14:paraId="24943DE3"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384C90A" w14:textId="77777777" w:rsidTr="000A1331">
        <w:trPr>
          <w:trHeight w:val="800"/>
        </w:trPr>
        <w:tc>
          <w:tcPr>
            <w:tcW w:w="9640" w:type="dxa"/>
            <w:shd w:val="clear" w:color="auto" w:fill="D9E2F3" w:themeFill="accent1" w:themeFillTint="33"/>
            <w:vAlign w:val="center"/>
          </w:tcPr>
          <w:p w14:paraId="1B46BB1B"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18212A06"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3B84836A" w14:textId="77777777" w:rsidTr="00EA0C09">
        <w:trPr>
          <w:trHeight w:val="415"/>
        </w:trPr>
        <w:tc>
          <w:tcPr>
            <w:tcW w:w="9776" w:type="dxa"/>
            <w:gridSpan w:val="8"/>
            <w:vAlign w:val="center"/>
          </w:tcPr>
          <w:p w14:paraId="4B55F42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46F7F5A4" w14:textId="77777777" w:rsidTr="009552E5">
        <w:trPr>
          <w:trHeight w:val="711"/>
        </w:trPr>
        <w:tc>
          <w:tcPr>
            <w:tcW w:w="1328" w:type="dxa"/>
            <w:vAlign w:val="center"/>
          </w:tcPr>
          <w:p w14:paraId="65B24E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04683831"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2D40548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17F725F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7F776E2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23C9EC0B"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471310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5573650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08340C" w14:paraId="57FCA77C" w14:textId="77777777">
        <w:tc>
          <w:tcPr>
            <w:tcW w:w="1328" w:type="dxa"/>
            <w:tcBorders>
              <w:top w:val="single" w:sz="4" w:space="0" w:color="D3D3D3"/>
              <w:left w:val="single" w:sz="4" w:space="0" w:color="D3D3D3"/>
              <w:bottom w:val="single" w:sz="4" w:space="0" w:color="D3D3D3"/>
              <w:right w:val="single" w:sz="4" w:space="0" w:color="D3D3D3"/>
            </w:tcBorders>
          </w:tcPr>
          <w:p w14:paraId="31977995"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Gestión y Administración de Proyectos Informáticos</w:t>
            </w:r>
          </w:p>
        </w:tc>
        <w:tc>
          <w:tcPr>
            <w:tcW w:w="1077" w:type="dxa"/>
            <w:tcBorders>
              <w:top w:val="single" w:sz="4" w:space="0" w:color="D3D3D3"/>
              <w:left w:val="single" w:sz="4" w:space="0" w:color="D3D3D3"/>
              <w:bottom w:val="single" w:sz="4" w:space="0" w:color="D3D3D3"/>
              <w:right w:val="single" w:sz="4" w:space="0" w:color="D3D3D3"/>
            </w:tcBorders>
          </w:tcPr>
          <w:p w14:paraId="1B201D47"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Elaboración del DAS v2.0 y Procesos BPMN 2.0</w:t>
            </w:r>
          </w:p>
        </w:tc>
        <w:tc>
          <w:tcPr>
            <w:tcW w:w="1276" w:type="dxa"/>
            <w:tcBorders>
              <w:top w:val="single" w:sz="4" w:space="0" w:color="D3D3D3"/>
              <w:left w:val="single" w:sz="4" w:space="0" w:color="D3D3D3"/>
              <w:bottom w:val="single" w:sz="4" w:space="0" w:color="D3D3D3"/>
              <w:right w:val="single" w:sz="4" w:space="0" w:color="D3D3D3"/>
            </w:tcBorders>
          </w:tcPr>
          <w:p w14:paraId="3A0FDF98"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Visual Paradigm, Draw.io, Plantillas IEEE</w:t>
            </w:r>
          </w:p>
        </w:tc>
        <w:tc>
          <w:tcPr>
            <w:tcW w:w="1276" w:type="dxa"/>
            <w:tcBorders>
              <w:top w:val="single" w:sz="4" w:space="0" w:color="D3D3D3"/>
              <w:left w:val="single" w:sz="4" w:space="0" w:color="D3D3D3"/>
              <w:bottom w:val="single" w:sz="4" w:space="0" w:color="D3D3D3"/>
              <w:right w:val="single" w:sz="4" w:space="0" w:color="D3D3D3"/>
            </w:tcBorders>
          </w:tcPr>
          <w:p w14:paraId="0E01A9E8"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2 semanas</w:t>
            </w:r>
          </w:p>
        </w:tc>
        <w:tc>
          <w:tcPr>
            <w:tcW w:w="1275" w:type="dxa"/>
            <w:tcBorders>
              <w:top w:val="single" w:sz="4" w:space="0" w:color="D3D3D3"/>
              <w:left w:val="single" w:sz="4" w:space="0" w:color="D3D3D3"/>
              <w:bottom w:val="single" w:sz="4" w:space="0" w:color="D3D3D3"/>
              <w:right w:val="single" w:sz="4" w:space="0" w:color="D3D3D3"/>
            </w:tcBorders>
          </w:tcPr>
          <w:p w14:paraId="70DFDB08"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Felipe Romero / Vicente Gilbert</w:t>
            </w:r>
          </w:p>
        </w:tc>
        <w:tc>
          <w:tcPr>
            <w:tcW w:w="1276" w:type="dxa"/>
            <w:tcBorders>
              <w:top w:val="single" w:sz="4" w:space="0" w:color="D3D3D3"/>
              <w:left w:val="single" w:sz="4" w:space="0" w:color="D3D3D3"/>
              <w:bottom w:val="single" w:sz="4" w:space="0" w:color="D3D3D3"/>
              <w:right w:val="single" w:sz="4" w:space="0" w:color="D3D3D3"/>
            </w:tcBorders>
          </w:tcPr>
          <w:p w14:paraId="56E2B31F"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Facilitó la adopción del modelo C4; contratos tempranos Swagger.</w:t>
            </w:r>
          </w:p>
        </w:tc>
        <w:tc>
          <w:tcPr>
            <w:tcW w:w="1418" w:type="dxa"/>
            <w:tcBorders>
              <w:top w:val="single" w:sz="4" w:space="0" w:color="D3D3D3"/>
              <w:left w:val="single" w:sz="4" w:space="0" w:color="D3D3D3"/>
              <w:bottom w:val="single" w:sz="4" w:space="0" w:color="D3D3D3"/>
              <w:right w:val="single" w:sz="4" w:space="0" w:color="D3D3D3"/>
            </w:tcBorders>
          </w:tcPr>
          <w:p w14:paraId="51FE97C8"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2F11C699"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Adaptación de arquitectura a Web/Móvil (SC-01)</w:t>
            </w:r>
          </w:p>
        </w:tc>
      </w:tr>
      <w:tr w:rsidR="0008340C" w14:paraId="0B3239BB" w14:textId="77777777">
        <w:tc>
          <w:tcPr>
            <w:tcW w:w="1328" w:type="dxa"/>
            <w:tcBorders>
              <w:top w:val="single" w:sz="4" w:space="0" w:color="D3D3D3"/>
              <w:left w:val="single" w:sz="4" w:space="0" w:color="D3D3D3"/>
              <w:bottom w:val="single" w:sz="4" w:space="0" w:color="D3D3D3"/>
              <w:right w:val="single" w:sz="4" w:space="0" w:color="D3D3D3"/>
            </w:tcBorders>
          </w:tcPr>
          <w:p w14:paraId="12B219F7"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Gestión de Bases de Datos y Seguridad</w:t>
            </w:r>
          </w:p>
        </w:tc>
        <w:tc>
          <w:tcPr>
            <w:tcW w:w="1077" w:type="dxa"/>
            <w:tcBorders>
              <w:top w:val="single" w:sz="4" w:space="0" w:color="D3D3D3"/>
              <w:left w:val="single" w:sz="4" w:space="0" w:color="D3D3D3"/>
              <w:bottom w:val="single" w:sz="4" w:space="0" w:color="D3D3D3"/>
              <w:right w:val="single" w:sz="4" w:space="0" w:color="D3D3D3"/>
            </w:tcBorders>
          </w:tcPr>
          <w:p w14:paraId="559ACB02"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Modelado relacional 3FN y migraciones Alembic</w:t>
            </w:r>
          </w:p>
        </w:tc>
        <w:tc>
          <w:tcPr>
            <w:tcW w:w="1276" w:type="dxa"/>
            <w:tcBorders>
              <w:top w:val="single" w:sz="4" w:space="0" w:color="D3D3D3"/>
              <w:left w:val="single" w:sz="4" w:space="0" w:color="D3D3D3"/>
              <w:bottom w:val="single" w:sz="4" w:space="0" w:color="D3D3D3"/>
              <w:right w:val="single" w:sz="4" w:space="0" w:color="D3D3D3"/>
            </w:tcBorders>
          </w:tcPr>
          <w:p w14:paraId="2E6AE0FF"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PostgreSQL 16, Supabase, Alembic, DBeaver</w:t>
            </w:r>
          </w:p>
        </w:tc>
        <w:tc>
          <w:tcPr>
            <w:tcW w:w="1276" w:type="dxa"/>
            <w:tcBorders>
              <w:top w:val="single" w:sz="4" w:space="0" w:color="D3D3D3"/>
              <w:left w:val="single" w:sz="4" w:space="0" w:color="D3D3D3"/>
              <w:bottom w:val="single" w:sz="4" w:space="0" w:color="D3D3D3"/>
              <w:right w:val="single" w:sz="4" w:space="0" w:color="D3D3D3"/>
            </w:tcBorders>
          </w:tcPr>
          <w:p w14:paraId="5546653C"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3 semanas</w:t>
            </w:r>
          </w:p>
        </w:tc>
        <w:tc>
          <w:tcPr>
            <w:tcW w:w="1275" w:type="dxa"/>
            <w:tcBorders>
              <w:top w:val="single" w:sz="4" w:space="0" w:color="D3D3D3"/>
              <w:left w:val="single" w:sz="4" w:space="0" w:color="D3D3D3"/>
              <w:bottom w:val="single" w:sz="4" w:space="0" w:color="D3D3D3"/>
              <w:right w:val="single" w:sz="4" w:space="0" w:color="D3D3D3"/>
            </w:tcBorders>
          </w:tcPr>
          <w:p w14:paraId="08A69D65"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Yulian Silva / Vicente Gilbert</w:t>
            </w:r>
          </w:p>
        </w:tc>
        <w:tc>
          <w:tcPr>
            <w:tcW w:w="1276" w:type="dxa"/>
            <w:tcBorders>
              <w:top w:val="single" w:sz="4" w:space="0" w:color="D3D3D3"/>
              <w:left w:val="single" w:sz="4" w:space="0" w:color="D3D3D3"/>
              <w:bottom w:val="single" w:sz="4" w:space="0" w:color="D3D3D3"/>
              <w:right w:val="single" w:sz="4" w:space="0" w:color="D3D3D3"/>
            </w:tcBorders>
          </w:tcPr>
          <w:p w14:paraId="7AF0E30F"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Integridad referencial y ON DELETE RESTRICT en tablas contables.</w:t>
            </w:r>
          </w:p>
        </w:tc>
        <w:tc>
          <w:tcPr>
            <w:tcW w:w="1418" w:type="dxa"/>
            <w:tcBorders>
              <w:top w:val="single" w:sz="4" w:space="0" w:color="D3D3D3"/>
              <w:left w:val="single" w:sz="4" w:space="0" w:color="D3D3D3"/>
              <w:bottom w:val="single" w:sz="4" w:space="0" w:color="D3D3D3"/>
              <w:right w:val="single" w:sz="4" w:space="0" w:color="D3D3D3"/>
            </w:tcBorders>
          </w:tcPr>
          <w:p w14:paraId="0643BF92"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70190719"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Índices compuestos para cálculo ACWR (RSG-01)</w:t>
            </w:r>
          </w:p>
        </w:tc>
      </w:tr>
      <w:tr w:rsidR="0008340C" w14:paraId="5B296719" w14:textId="77777777">
        <w:tc>
          <w:tcPr>
            <w:tcW w:w="1328" w:type="dxa"/>
            <w:tcBorders>
              <w:top w:val="single" w:sz="4" w:space="0" w:color="D3D3D3"/>
              <w:left w:val="single" w:sz="4" w:space="0" w:color="D3D3D3"/>
              <w:bottom w:val="single" w:sz="4" w:space="0" w:color="D3D3D3"/>
              <w:right w:val="single" w:sz="4" w:space="0" w:color="D3D3D3"/>
            </w:tcBorders>
          </w:tcPr>
          <w:p w14:paraId="20DD60ED"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Desarrollo y Construcción de Software</w:t>
            </w:r>
          </w:p>
        </w:tc>
        <w:tc>
          <w:tcPr>
            <w:tcW w:w="1077" w:type="dxa"/>
            <w:tcBorders>
              <w:top w:val="single" w:sz="4" w:space="0" w:color="D3D3D3"/>
              <w:left w:val="single" w:sz="4" w:space="0" w:color="D3D3D3"/>
              <w:bottom w:val="single" w:sz="4" w:space="0" w:color="D3D3D3"/>
              <w:right w:val="single" w:sz="4" w:space="0" w:color="D3D3D3"/>
            </w:tcBorders>
          </w:tcPr>
          <w:p w14:paraId="67DC1B18"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Backend API REST, JWT y Multi-tenancy</w:t>
            </w:r>
          </w:p>
        </w:tc>
        <w:tc>
          <w:tcPr>
            <w:tcW w:w="1276" w:type="dxa"/>
            <w:tcBorders>
              <w:top w:val="single" w:sz="4" w:space="0" w:color="D3D3D3"/>
              <w:left w:val="single" w:sz="4" w:space="0" w:color="D3D3D3"/>
              <w:bottom w:val="single" w:sz="4" w:space="0" w:color="D3D3D3"/>
              <w:right w:val="single" w:sz="4" w:space="0" w:color="D3D3D3"/>
            </w:tcBorders>
          </w:tcPr>
          <w:p w14:paraId="02084E00"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Python 3.11, FastAPI, Pydantic, Bcrypt, Render</w:t>
            </w:r>
          </w:p>
        </w:tc>
        <w:tc>
          <w:tcPr>
            <w:tcW w:w="1276" w:type="dxa"/>
            <w:tcBorders>
              <w:top w:val="single" w:sz="4" w:space="0" w:color="D3D3D3"/>
              <w:left w:val="single" w:sz="4" w:space="0" w:color="D3D3D3"/>
              <w:bottom w:val="single" w:sz="4" w:space="0" w:color="D3D3D3"/>
              <w:right w:val="single" w:sz="4" w:space="0" w:color="D3D3D3"/>
            </w:tcBorders>
          </w:tcPr>
          <w:p w14:paraId="13A50728"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4 semanas</w:t>
            </w:r>
          </w:p>
        </w:tc>
        <w:tc>
          <w:tcPr>
            <w:tcW w:w="1275" w:type="dxa"/>
            <w:tcBorders>
              <w:top w:val="single" w:sz="4" w:space="0" w:color="D3D3D3"/>
              <w:left w:val="single" w:sz="4" w:space="0" w:color="D3D3D3"/>
              <w:bottom w:val="single" w:sz="4" w:space="0" w:color="D3D3D3"/>
              <w:right w:val="single" w:sz="4" w:space="0" w:color="D3D3D3"/>
            </w:tcBorders>
          </w:tcPr>
          <w:p w14:paraId="3D104301"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Vicente Gilbert / Felipe Romero</w:t>
            </w:r>
          </w:p>
        </w:tc>
        <w:tc>
          <w:tcPr>
            <w:tcW w:w="1276" w:type="dxa"/>
            <w:tcBorders>
              <w:top w:val="single" w:sz="4" w:space="0" w:color="D3D3D3"/>
              <w:left w:val="single" w:sz="4" w:space="0" w:color="D3D3D3"/>
              <w:bottom w:val="single" w:sz="4" w:space="0" w:color="D3D3D3"/>
              <w:right w:val="single" w:sz="4" w:space="0" w:color="D3D3D3"/>
            </w:tcBorders>
          </w:tcPr>
          <w:p w14:paraId="33E7540E"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FastAPI permitió validación estricta y generación Swagger viva.</w:t>
            </w:r>
          </w:p>
        </w:tc>
        <w:tc>
          <w:tcPr>
            <w:tcW w:w="1418" w:type="dxa"/>
            <w:tcBorders>
              <w:top w:val="single" w:sz="4" w:space="0" w:color="D3D3D3"/>
              <w:left w:val="single" w:sz="4" w:space="0" w:color="D3D3D3"/>
              <w:bottom w:val="single" w:sz="4" w:space="0" w:color="D3D3D3"/>
              <w:right w:val="single" w:sz="4" w:space="0" w:color="D3D3D3"/>
            </w:tcBorders>
          </w:tcPr>
          <w:p w14:paraId="4C907CFE"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5E18094B"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Aislamiento de sucursales forzoso por branch_id</w:t>
            </w:r>
          </w:p>
        </w:tc>
      </w:tr>
      <w:tr w:rsidR="0008340C" w14:paraId="42A5C54E" w14:textId="77777777">
        <w:tc>
          <w:tcPr>
            <w:tcW w:w="1328" w:type="dxa"/>
            <w:tcBorders>
              <w:top w:val="single" w:sz="4" w:space="0" w:color="D3D3D3"/>
              <w:left w:val="single" w:sz="4" w:space="0" w:color="D3D3D3"/>
              <w:bottom w:val="single" w:sz="4" w:space="0" w:color="D3D3D3"/>
              <w:right w:val="single" w:sz="4" w:space="0" w:color="D3D3D3"/>
            </w:tcBorders>
          </w:tcPr>
          <w:p w14:paraId="5E6516A7"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Desarrollo y Construcción de Software</w:t>
            </w:r>
          </w:p>
        </w:tc>
        <w:tc>
          <w:tcPr>
            <w:tcW w:w="1077" w:type="dxa"/>
            <w:tcBorders>
              <w:top w:val="single" w:sz="4" w:space="0" w:color="D3D3D3"/>
              <w:left w:val="single" w:sz="4" w:space="0" w:color="D3D3D3"/>
              <w:bottom w:val="single" w:sz="4" w:space="0" w:color="D3D3D3"/>
              <w:right w:val="single" w:sz="4" w:space="0" w:color="D3D3D3"/>
            </w:tcBorders>
          </w:tcPr>
          <w:p w14:paraId="6722E613"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Integración pasarela Mercado Pago y Webhooks IPN</w:t>
            </w:r>
          </w:p>
        </w:tc>
        <w:tc>
          <w:tcPr>
            <w:tcW w:w="1276" w:type="dxa"/>
            <w:tcBorders>
              <w:top w:val="single" w:sz="4" w:space="0" w:color="D3D3D3"/>
              <w:left w:val="single" w:sz="4" w:space="0" w:color="D3D3D3"/>
              <w:bottom w:val="single" w:sz="4" w:space="0" w:color="D3D3D3"/>
              <w:right w:val="single" w:sz="4" w:space="0" w:color="D3D3D3"/>
            </w:tcBorders>
          </w:tcPr>
          <w:p w14:paraId="40E145D6"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Mercado Pago SDK, Ngrok, PostgreSQL, Render</w:t>
            </w:r>
          </w:p>
        </w:tc>
        <w:tc>
          <w:tcPr>
            <w:tcW w:w="1276" w:type="dxa"/>
            <w:tcBorders>
              <w:top w:val="single" w:sz="4" w:space="0" w:color="D3D3D3"/>
              <w:left w:val="single" w:sz="4" w:space="0" w:color="D3D3D3"/>
              <w:bottom w:val="single" w:sz="4" w:space="0" w:color="D3D3D3"/>
              <w:right w:val="single" w:sz="4" w:space="0" w:color="D3D3D3"/>
            </w:tcBorders>
          </w:tcPr>
          <w:p w14:paraId="1D4101E7"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2 semanas</w:t>
            </w:r>
          </w:p>
        </w:tc>
        <w:tc>
          <w:tcPr>
            <w:tcW w:w="1275" w:type="dxa"/>
            <w:tcBorders>
              <w:top w:val="single" w:sz="4" w:space="0" w:color="D3D3D3"/>
              <w:left w:val="single" w:sz="4" w:space="0" w:color="D3D3D3"/>
              <w:bottom w:val="single" w:sz="4" w:space="0" w:color="D3D3D3"/>
              <w:right w:val="single" w:sz="4" w:space="0" w:color="D3D3D3"/>
            </w:tcBorders>
          </w:tcPr>
          <w:p w14:paraId="61F2C89E"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Vicente Gilbert</w:t>
            </w:r>
          </w:p>
        </w:tc>
        <w:tc>
          <w:tcPr>
            <w:tcW w:w="1276" w:type="dxa"/>
            <w:tcBorders>
              <w:top w:val="single" w:sz="4" w:space="0" w:color="D3D3D3"/>
              <w:left w:val="single" w:sz="4" w:space="0" w:color="D3D3D3"/>
              <w:bottom w:val="single" w:sz="4" w:space="0" w:color="D3D3D3"/>
              <w:right w:val="single" w:sz="4" w:space="0" w:color="D3D3D3"/>
            </w:tcBorders>
          </w:tcPr>
          <w:p w14:paraId="3A073D1A"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Dificultad por reintentos de webhooks; mitigado con idempotencia.</w:t>
            </w:r>
          </w:p>
        </w:tc>
        <w:tc>
          <w:tcPr>
            <w:tcW w:w="1418" w:type="dxa"/>
            <w:tcBorders>
              <w:top w:val="single" w:sz="4" w:space="0" w:color="D3D3D3"/>
              <w:left w:val="single" w:sz="4" w:space="0" w:color="D3D3D3"/>
              <w:bottom w:val="single" w:sz="4" w:space="0" w:color="D3D3D3"/>
              <w:right w:val="single" w:sz="4" w:space="0" w:color="D3D3D3"/>
            </w:tcBorders>
          </w:tcPr>
          <w:p w14:paraId="42BFD0E8"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53BE328A"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Acreditación atómica automática de membresías</w:t>
            </w:r>
          </w:p>
        </w:tc>
      </w:tr>
      <w:tr w:rsidR="0008340C" w14:paraId="4E0A3658" w14:textId="77777777">
        <w:tc>
          <w:tcPr>
            <w:tcW w:w="1328" w:type="dxa"/>
            <w:tcBorders>
              <w:top w:val="single" w:sz="4" w:space="0" w:color="D3D3D3"/>
              <w:left w:val="single" w:sz="4" w:space="0" w:color="D3D3D3"/>
              <w:bottom w:val="single" w:sz="4" w:space="0" w:color="D3D3D3"/>
              <w:right w:val="single" w:sz="4" w:space="0" w:color="D3D3D3"/>
            </w:tcBorders>
          </w:tcPr>
          <w:p w14:paraId="6C8F0DC3"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Desarrollo y Construcción de Software</w:t>
            </w:r>
          </w:p>
        </w:tc>
        <w:tc>
          <w:tcPr>
            <w:tcW w:w="1077" w:type="dxa"/>
            <w:tcBorders>
              <w:top w:val="single" w:sz="4" w:space="0" w:color="D3D3D3"/>
              <w:left w:val="single" w:sz="4" w:space="0" w:color="D3D3D3"/>
              <w:bottom w:val="single" w:sz="4" w:space="0" w:color="D3D3D3"/>
              <w:right w:val="single" w:sz="4" w:space="0" w:color="D3D3D3"/>
            </w:tcBorders>
          </w:tcPr>
          <w:p w14:paraId="470FD62B"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Motor Analítico ACWR y Notificaciones Zoho Mail</w:t>
            </w:r>
          </w:p>
        </w:tc>
        <w:tc>
          <w:tcPr>
            <w:tcW w:w="1276" w:type="dxa"/>
            <w:tcBorders>
              <w:top w:val="single" w:sz="4" w:space="0" w:color="D3D3D3"/>
              <w:left w:val="single" w:sz="4" w:space="0" w:color="D3D3D3"/>
              <w:bottom w:val="single" w:sz="4" w:space="0" w:color="D3D3D3"/>
              <w:right w:val="single" w:sz="4" w:space="0" w:color="D3D3D3"/>
            </w:tcBorders>
          </w:tcPr>
          <w:p w14:paraId="459811DA"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FastAPI, Zoho Mail REST API, OAuth2, SQLAlchemy</w:t>
            </w:r>
          </w:p>
        </w:tc>
        <w:tc>
          <w:tcPr>
            <w:tcW w:w="1276" w:type="dxa"/>
            <w:tcBorders>
              <w:top w:val="single" w:sz="4" w:space="0" w:color="D3D3D3"/>
              <w:left w:val="single" w:sz="4" w:space="0" w:color="D3D3D3"/>
              <w:bottom w:val="single" w:sz="4" w:space="0" w:color="D3D3D3"/>
              <w:right w:val="single" w:sz="4" w:space="0" w:color="D3D3D3"/>
            </w:tcBorders>
          </w:tcPr>
          <w:p w14:paraId="75F1B70D"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3 semanas</w:t>
            </w:r>
          </w:p>
        </w:tc>
        <w:tc>
          <w:tcPr>
            <w:tcW w:w="1275" w:type="dxa"/>
            <w:tcBorders>
              <w:top w:val="single" w:sz="4" w:space="0" w:color="D3D3D3"/>
              <w:left w:val="single" w:sz="4" w:space="0" w:color="D3D3D3"/>
              <w:bottom w:val="single" w:sz="4" w:space="0" w:color="D3D3D3"/>
              <w:right w:val="single" w:sz="4" w:space="0" w:color="D3D3D3"/>
            </w:tcBorders>
          </w:tcPr>
          <w:p w14:paraId="55086C47"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Vicente Gilbert</w:t>
            </w:r>
          </w:p>
        </w:tc>
        <w:tc>
          <w:tcPr>
            <w:tcW w:w="1276" w:type="dxa"/>
            <w:tcBorders>
              <w:top w:val="single" w:sz="4" w:space="0" w:color="D3D3D3"/>
              <w:left w:val="single" w:sz="4" w:space="0" w:color="D3D3D3"/>
              <w:bottom w:val="single" w:sz="4" w:space="0" w:color="D3D3D3"/>
              <w:right w:val="single" w:sz="4" w:space="0" w:color="D3D3D3"/>
            </w:tcBorders>
          </w:tcPr>
          <w:p w14:paraId="3F2EB1B1"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Bloqueo de puertos SMTP en Render resuelto migrando a REST API.</w:t>
            </w:r>
          </w:p>
        </w:tc>
        <w:tc>
          <w:tcPr>
            <w:tcW w:w="1418" w:type="dxa"/>
            <w:tcBorders>
              <w:top w:val="single" w:sz="4" w:space="0" w:color="D3D3D3"/>
              <w:left w:val="single" w:sz="4" w:space="0" w:color="D3D3D3"/>
              <w:bottom w:val="single" w:sz="4" w:space="0" w:color="D3D3D3"/>
              <w:right w:val="single" w:sz="4" w:space="0" w:color="D3D3D3"/>
            </w:tcBorders>
          </w:tcPr>
          <w:p w14:paraId="7D639B3B"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71470EA8"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Migración oficial a Zoho Mail OAuth2 (SC-02)</w:t>
            </w:r>
          </w:p>
        </w:tc>
      </w:tr>
      <w:tr w:rsidR="0008340C" w14:paraId="4CE01037" w14:textId="77777777">
        <w:tc>
          <w:tcPr>
            <w:tcW w:w="1328" w:type="dxa"/>
            <w:tcBorders>
              <w:top w:val="single" w:sz="4" w:space="0" w:color="D3D3D3"/>
              <w:left w:val="single" w:sz="4" w:space="0" w:color="D3D3D3"/>
              <w:bottom w:val="single" w:sz="4" w:space="0" w:color="D3D3D3"/>
              <w:right w:val="single" w:sz="4" w:space="0" w:color="D3D3D3"/>
            </w:tcBorders>
          </w:tcPr>
          <w:p w14:paraId="78D3BCC9" w14:textId="77777777" w:rsidR="0008340C" w:rsidRDefault="00000000">
            <w:pPr>
              <w:spacing w:before="40" w:after="40" w:line="240" w:lineRule="auto"/>
              <w:rPr>
                <w:rFonts w:ascii="Calibri" w:hAnsi="Calibri"/>
                <w:sz w:val="19"/>
                <w:szCs w:val="19"/>
              </w:rPr>
            </w:pPr>
            <w:r>
              <w:rPr>
                <w:rFonts w:ascii="Calibri" w:hAnsi="Calibri"/>
                <w:color w:val="262626"/>
                <w:sz w:val="19"/>
                <w:szCs w:val="19"/>
              </w:rPr>
              <w:lastRenderedPageBreak/>
              <w:t>Desarrollo y Construcción de Software</w:t>
            </w:r>
          </w:p>
        </w:tc>
        <w:tc>
          <w:tcPr>
            <w:tcW w:w="1077" w:type="dxa"/>
            <w:tcBorders>
              <w:top w:val="single" w:sz="4" w:space="0" w:color="D3D3D3"/>
              <w:left w:val="single" w:sz="4" w:space="0" w:color="D3D3D3"/>
              <w:bottom w:val="single" w:sz="4" w:space="0" w:color="D3D3D3"/>
              <w:right w:val="single" w:sz="4" w:space="0" w:color="D3D3D3"/>
            </w:tcBorders>
          </w:tcPr>
          <w:p w14:paraId="6DFE5DA8"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Frontend Web Administrativo en React + Vite</w:t>
            </w:r>
          </w:p>
        </w:tc>
        <w:tc>
          <w:tcPr>
            <w:tcW w:w="1276" w:type="dxa"/>
            <w:tcBorders>
              <w:top w:val="single" w:sz="4" w:space="0" w:color="D3D3D3"/>
              <w:left w:val="single" w:sz="4" w:space="0" w:color="D3D3D3"/>
              <w:bottom w:val="single" w:sz="4" w:space="0" w:color="D3D3D3"/>
              <w:right w:val="single" w:sz="4" w:space="0" w:color="D3D3D3"/>
            </w:tcBorders>
          </w:tcPr>
          <w:p w14:paraId="525BF2F0"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React 18, Vite, Vanilla/Tailwind CSS, Axios, Vercel</w:t>
            </w:r>
          </w:p>
        </w:tc>
        <w:tc>
          <w:tcPr>
            <w:tcW w:w="1276" w:type="dxa"/>
            <w:tcBorders>
              <w:top w:val="single" w:sz="4" w:space="0" w:color="D3D3D3"/>
              <w:left w:val="single" w:sz="4" w:space="0" w:color="D3D3D3"/>
              <w:bottom w:val="single" w:sz="4" w:space="0" w:color="D3D3D3"/>
              <w:right w:val="single" w:sz="4" w:space="0" w:color="D3D3D3"/>
            </w:tcBorders>
          </w:tcPr>
          <w:p w14:paraId="2C83B33C"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4 semanas</w:t>
            </w:r>
          </w:p>
        </w:tc>
        <w:tc>
          <w:tcPr>
            <w:tcW w:w="1275" w:type="dxa"/>
            <w:tcBorders>
              <w:top w:val="single" w:sz="4" w:space="0" w:color="D3D3D3"/>
              <w:left w:val="single" w:sz="4" w:space="0" w:color="D3D3D3"/>
              <w:bottom w:val="single" w:sz="4" w:space="0" w:color="D3D3D3"/>
              <w:right w:val="single" w:sz="4" w:space="0" w:color="D3D3D3"/>
            </w:tcBorders>
          </w:tcPr>
          <w:p w14:paraId="537FDAAA"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Antonio Maturana / Felipe Romero</w:t>
            </w:r>
          </w:p>
        </w:tc>
        <w:tc>
          <w:tcPr>
            <w:tcW w:w="1276" w:type="dxa"/>
            <w:tcBorders>
              <w:top w:val="single" w:sz="4" w:space="0" w:color="D3D3D3"/>
              <w:left w:val="single" w:sz="4" w:space="0" w:color="D3D3D3"/>
              <w:bottom w:val="single" w:sz="4" w:space="0" w:color="D3D3D3"/>
              <w:right w:val="single" w:sz="4" w:space="0" w:color="D3D3D3"/>
            </w:tcBorders>
          </w:tcPr>
          <w:p w14:paraId="6AF48BBD"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Despliegue continuo en Vercel con alta reactividad visual.</w:t>
            </w:r>
          </w:p>
        </w:tc>
        <w:tc>
          <w:tcPr>
            <w:tcW w:w="1418" w:type="dxa"/>
            <w:tcBorders>
              <w:top w:val="single" w:sz="4" w:space="0" w:color="D3D3D3"/>
              <w:left w:val="single" w:sz="4" w:space="0" w:color="D3D3D3"/>
              <w:bottom w:val="single" w:sz="4" w:space="0" w:color="D3D3D3"/>
              <w:right w:val="single" w:sz="4" w:space="0" w:color="D3D3D3"/>
            </w:tcBorders>
          </w:tcPr>
          <w:p w14:paraId="42A1C5A6"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53285209"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Flujo Enviar cobro al correo con un solo clic</w:t>
            </w:r>
          </w:p>
        </w:tc>
      </w:tr>
      <w:tr w:rsidR="0008340C" w14:paraId="623688C7" w14:textId="77777777">
        <w:tc>
          <w:tcPr>
            <w:tcW w:w="1328" w:type="dxa"/>
            <w:tcBorders>
              <w:top w:val="single" w:sz="4" w:space="0" w:color="D3D3D3"/>
              <w:left w:val="single" w:sz="4" w:space="0" w:color="D3D3D3"/>
              <w:bottom w:val="single" w:sz="4" w:space="0" w:color="D3D3D3"/>
              <w:right w:val="single" w:sz="4" w:space="0" w:color="D3D3D3"/>
            </w:tcBorders>
          </w:tcPr>
          <w:p w14:paraId="4ADAEBDE"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Desarrollo y Construcción de Software</w:t>
            </w:r>
          </w:p>
        </w:tc>
        <w:tc>
          <w:tcPr>
            <w:tcW w:w="1077" w:type="dxa"/>
            <w:tcBorders>
              <w:top w:val="single" w:sz="4" w:space="0" w:color="D3D3D3"/>
              <w:left w:val="single" w:sz="4" w:space="0" w:color="D3D3D3"/>
              <w:bottom w:val="single" w:sz="4" w:space="0" w:color="D3D3D3"/>
              <w:right w:val="single" w:sz="4" w:space="0" w:color="D3D3D3"/>
            </w:tcBorders>
          </w:tcPr>
          <w:p w14:paraId="4B976DFA"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App Móvil para Atletas en React Native / Expo</w:t>
            </w:r>
          </w:p>
        </w:tc>
        <w:tc>
          <w:tcPr>
            <w:tcW w:w="1276" w:type="dxa"/>
            <w:tcBorders>
              <w:top w:val="single" w:sz="4" w:space="0" w:color="D3D3D3"/>
              <w:left w:val="single" w:sz="4" w:space="0" w:color="D3D3D3"/>
              <w:bottom w:val="single" w:sz="4" w:space="0" w:color="D3D3D3"/>
              <w:right w:val="single" w:sz="4" w:space="0" w:color="D3D3D3"/>
            </w:tcBorders>
          </w:tcPr>
          <w:p w14:paraId="0B62F0DB"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React Native, Expo SDK, EAS Build, Android APK</w:t>
            </w:r>
          </w:p>
        </w:tc>
        <w:tc>
          <w:tcPr>
            <w:tcW w:w="1276" w:type="dxa"/>
            <w:tcBorders>
              <w:top w:val="single" w:sz="4" w:space="0" w:color="D3D3D3"/>
              <w:left w:val="single" w:sz="4" w:space="0" w:color="D3D3D3"/>
              <w:bottom w:val="single" w:sz="4" w:space="0" w:color="D3D3D3"/>
              <w:right w:val="single" w:sz="4" w:space="0" w:color="D3D3D3"/>
            </w:tcBorders>
          </w:tcPr>
          <w:p w14:paraId="6DBEBDA6"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4 semanas</w:t>
            </w:r>
          </w:p>
        </w:tc>
        <w:tc>
          <w:tcPr>
            <w:tcW w:w="1275" w:type="dxa"/>
            <w:tcBorders>
              <w:top w:val="single" w:sz="4" w:space="0" w:color="D3D3D3"/>
              <w:left w:val="single" w:sz="4" w:space="0" w:color="D3D3D3"/>
              <w:bottom w:val="single" w:sz="4" w:space="0" w:color="D3D3D3"/>
              <w:right w:val="single" w:sz="4" w:space="0" w:color="D3D3D3"/>
            </w:tcBorders>
          </w:tcPr>
          <w:p w14:paraId="497E7D12"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Antonio Maturana / Felipe Romero</w:t>
            </w:r>
          </w:p>
        </w:tc>
        <w:tc>
          <w:tcPr>
            <w:tcW w:w="1276" w:type="dxa"/>
            <w:tcBorders>
              <w:top w:val="single" w:sz="4" w:space="0" w:color="D3D3D3"/>
              <w:left w:val="single" w:sz="4" w:space="0" w:color="D3D3D3"/>
              <w:bottom w:val="single" w:sz="4" w:space="0" w:color="D3D3D3"/>
              <w:right w:val="single" w:sz="4" w:space="0" w:color="D3D3D3"/>
            </w:tcBorders>
          </w:tcPr>
          <w:p w14:paraId="1490E772"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Lentitud por GIFs resuelta con caché local (&lt;500ms).</w:t>
            </w:r>
          </w:p>
        </w:tc>
        <w:tc>
          <w:tcPr>
            <w:tcW w:w="1418" w:type="dxa"/>
            <w:tcBorders>
              <w:top w:val="single" w:sz="4" w:space="0" w:color="D3D3D3"/>
              <w:left w:val="single" w:sz="4" w:space="0" w:color="D3D3D3"/>
              <w:bottom w:val="single" w:sz="4" w:space="0" w:color="D3D3D3"/>
              <w:right w:val="single" w:sz="4" w:space="0" w:color="D3D3D3"/>
            </w:tcBorders>
          </w:tcPr>
          <w:p w14:paraId="160BB3F8"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5A03E35F"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Inclusión de componente ServerWakeUp (RSG-07)</w:t>
            </w:r>
          </w:p>
        </w:tc>
      </w:tr>
      <w:tr w:rsidR="0008340C" w14:paraId="1EF960E7" w14:textId="77777777">
        <w:tc>
          <w:tcPr>
            <w:tcW w:w="1328" w:type="dxa"/>
            <w:tcBorders>
              <w:top w:val="single" w:sz="4" w:space="0" w:color="D3D3D3"/>
              <w:left w:val="single" w:sz="4" w:space="0" w:color="D3D3D3"/>
              <w:bottom w:val="single" w:sz="4" w:space="0" w:color="D3D3D3"/>
              <w:right w:val="single" w:sz="4" w:space="0" w:color="D3D3D3"/>
            </w:tcBorders>
          </w:tcPr>
          <w:p w14:paraId="612A2F41"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Pruebas de Certificación de Productos y Procesos</w:t>
            </w:r>
          </w:p>
        </w:tc>
        <w:tc>
          <w:tcPr>
            <w:tcW w:w="1077" w:type="dxa"/>
            <w:tcBorders>
              <w:top w:val="single" w:sz="4" w:space="0" w:color="D3D3D3"/>
              <w:left w:val="single" w:sz="4" w:space="0" w:color="D3D3D3"/>
              <w:bottom w:val="single" w:sz="4" w:space="0" w:color="D3D3D3"/>
              <w:right w:val="single" w:sz="4" w:space="0" w:color="D3D3D3"/>
            </w:tcBorders>
          </w:tcPr>
          <w:p w14:paraId="2A63BF36" w14:textId="77777777" w:rsidR="0008340C" w:rsidRDefault="00000000">
            <w:pPr>
              <w:spacing w:before="40" w:after="40" w:line="240" w:lineRule="auto"/>
              <w:rPr>
                <w:rFonts w:ascii="Calibri" w:hAnsi="Calibri"/>
                <w:sz w:val="19"/>
                <w:szCs w:val="19"/>
              </w:rPr>
            </w:pPr>
            <w:r>
              <w:rPr>
                <w:rFonts w:ascii="Calibri" w:hAnsi="Calibri"/>
                <w:b/>
                <w:bCs/>
                <w:color w:val="262626"/>
                <w:sz w:val="19"/>
                <w:szCs w:val="19"/>
              </w:rPr>
              <w:t>Ejecución de los 16 casos del Plan de Pruebas</w:t>
            </w:r>
          </w:p>
        </w:tc>
        <w:tc>
          <w:tcPr>
            <w:tcW w:w="1276" w:type="dxa"/>
            <w:tcBorders>
              <w:top w:val="single" w:sz="4" w:space="0" w:color="D3D3D3"/>
              <w:left w:val="single" w:sz="4" w:space="0" w:color="D3D3D3"/>
              <w:bottom w:val="single" w:sz="4" w:space="0" w:color="D3D3D3"/>
              <w:right w:val="single" w:sz="4" w:space="0" w:color="D3D3D3"/>
            </w:tcBorders>
          </w:tcPr>
          <w:p w14:paraId="4FAB31FD"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Postman, Swagger, DBeaver, Dispositivos Android</w:t>
            </w:r>
          </w:p>
        </w:tc>
        <w:tc>
          <w:tcPr>
            <w:tcW w:w="1276" w:type="dxa"/>
            <w:tcBorders>
              <w:top w:val="single" w:sz="4" w:space="0" w:color="D3D3D3"/>
              <w:left w:val="single" w:sz="4" w:space="0" w:color="D3D3D3"/>
              <w:bottom w:val="single" w:sz="4" w:space="0" w:color="D3D3D3"/>
              <w:right w:val="single" w:sz="4" w:space="0" w:color="D3D3D3"/>
            </w:tcBorders>
          </w:tcPr>
          <w:p w14:paraId="75A999AA"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5 semanas</w:t>
            </w:r>
          </w:p>
        </w:tc>
        <w:tc>
          <w:tcPr>
            <w:tcW w:w="1275" w:type="dxa"/>
            <w:tcBorders>
              <w:top w:val="single" w:sz="4" w:space="0" w:color="D3D3D3"/>
              <w:left w:val="single" w:sz="4" w:space="0" w:color="D3D3D3"/>
              <w:bottom w:val="single" w:sz="4" w:space="0" w:color="D3D3D3"/>
              <w:right w:val="single" w:sz="4" w:space="0" w:color="D3D3D3"/>
            </w:tcBorders>
          </w:tcPr>
          <w:p w14:paraId="0678F809"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Steven San Martín / Felipe Romero</w:t>
            </w:r>
          </w:p>
        </w:tc>
        <w:tc>
          <w:tcPr>
            <w:tcW w:w="1276" w:type="dxa"/>
            <w:tcBorders>
              <w:top w:val="single" w:sz="4" w:space="0" w:color="D3D3D3"/>
              <w:left w:val="single" w:sz="4" w:space="0" w:color="D3D3D3"/>
              <w:bottom w:val="single" w:sz="4" w:space="0" w:color="D3D3D3"/>
              <w:right w:val="single" w:sz="4" w:space="0" w:color="D3D3D3"/>
            </w:tcBorders>
          </w:tcPr>
          <w:p w14:paraId="69D02CAF" w14:textId="77777777" w:rsidR="0008340C" w:rsidRDefault="00000000">
            <w:pPr>
              <w:spacing w:before="40" w:after="40" w:line="240" w:lineRule="auto"/>
              <w:rPr>
                <w:rFonts w:ascii="Calibri" w:hAnsi="Calibri"/>
                <w:sz w:val="19"/>
                <w:szCs w:val="19"/>
              </w:rPr>
            </w:pPr>
            <w:r>
              <w:rPr>
                <w:rFonts w:ascii="Calibri" w:hAnsi="Calibri"/>
                <w:color w:val="262626"/>
                <w:sz w:val="19"/>
                <w:szCs w:val="19"/>
              </w:rPr>
              <w:t>Validación integral de pagos, fatiga y seguridad perimetral.</w:t>
            </w:r>
          </w:p>
        </w:tc>
        <w:tc>
          <w:tcPr>
            <w:tcW w:w="1418" w:type="dxa"/>
            <w:tcBorders>
              <w:top w:val="single" w:sz="4" w:space="0" w:color="D3D3D3"/>
              <w:left w:val="single" w:sz="4" w:space="0" w:color="D3D3D3"/>
              <w:bottom w:val="single" w:sz="4" w:space="0" w:color="D3D3D3"/>
              <w:right w:val="single" w:sz="4" w:space="0" w:color="D3D3D3"/>
            </w:tcBorders>
          </w:tcPr>
          <w:p w14:paraId="724F3759" w14:textId="77777777" w:rsidR="0008340C" w:rsidRDefault="00000000">
            <w:pPr>
              <w:spacing w:before="40" w:after="40" w:line="240" w:lineRule="auto"/>
              <w:jc w:val="center"/>
              <w:rPr>
                <w:rFonts w:ascii="Calibri" w:hAnsi="Calibri"/>
                <w:sz w:val="19"/>
                <w:szCs w:val="19"/>
              </w:rPr>
            </w:pPr>
            <w:r>
              <w:rPr>
                <w:rFonts w:ascii="Calibri" w:hAnsi="Calibri"/>
                <w:b/>
                <w:bCs/>
                <w:color w:val="1F4E79"/>
                <w:sz w:val="19"/>
                <w:szCs w:val="19"/>
              </w:rPr>
              <w:t>Completada (100%)</w:t>
            </w:r>
          </w:p>
        </w:tc>
        <w:tc>
          <w:tcPr>
            <w:tcW w:w="850" w:type="dxa"/>
            <w:tcBorders>
              <w:top w:val="single" w:sz="4" w:space="0" w:color="D3D3D3"/>
              <w:left w:val="single" w:sz="4" w:space="0" w:color="D3D3D3"/>
              <w:bottom w:val="single" w:sz="4" w:space="0" w:color="D3D3D3"/>
              <w:right w:val="single" w:sz="4" w:space="0" w:color="D3D3D3"/>
            </w:tcBorders>
          </w:tcPr>
          <w:p w14:paraId="640B423F" w14:textId="77777777" w:rsidR="0008340C" w:rsidRDefault="00000000">
            <w:pPr>
              <w:spacing w:before="40" w:after="40" w:line="240" w:lineRule="auto"/>
              <w:jc w:val="center"/>
              <w:rPr>
                <w:rFonts w:ascii="Calibri" w:hAnsi="Calibri"/>
                <w:sz w:val="19"/>
                <w:szCs w:val="19"/>
              </w:rPr>
            </w:pPr>
            <w:r>
              <w:rPr>
                <w:rFonts w:ascii="Calibri" w:hAnsi="Calibri"/>
                <w:color w:val="262626"/>
                <w:sz w:val="19"/>
                <w:szCs w:val="19"/>
              </w:rPr>
              <w:t>Inclusión de pruebas de firma en Webhooks</w:t>
            </w:r>
          </w:p>
        </w:tc>
      </w:tr>
    </w:tbl>
    <w:p w14:paraId="6007349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6420AF79" w14:textId="77777777" w:rsidTr="00C5122E">
        <w:trPr>
          <w:trHeight w:val="440"/>
        </w:trPr>
        <w:tc>
          <w:tcPr>
            <w:tcW w:w="9498" w:type="dxa"/>
            <w:vAlign w:val="center"/>
          </w:tcPr>
          <w:p w14:paraId="0F7A5BCE"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5F377205" w14:textId="77777777" w:rsidTr="00C5122E">
        <w:trPr>
          <w:trHeight w:val="800"/>
        </w:trPr>
        <w:tc>
          <w:tcPr>
            <w:tcW w:w="9498" w:type="dxa"/>
            <w:shd w:val="clear" w:color="auto" w:fill="D9E2F3" w:themeFill="accent1" w:themeFillTint="33"/>
            <w:vAlign w:val="center"/>
          </w:tcPr>
          <w:p w14:paraId="54F8934A"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6D1E187C"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7B17A031" w14:textId="77777777" w:rsidTr="00C5122E">
        <w:trPr>
          <w:trHeight w:val="1936"/>
        </w:trPr>
        <w:tc>
          <w:tcPr>
            <w:tcW w:w="5000" w:type="pct"/>
            <w:vAlign w:val="center"/>
          </w:tcPr>
          <w:p w14:paraId="369E31C0"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Factores que han facilitado el desarrollo del plan de trabajo:</w:t>
            </w:r>
          </w:p>
          <w:p w14:paraId="6DE77162"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1. Adopción del marco ágil Scrum y roles claros en la Matriz RACI: La estructuración del trabajo quincenal y la asignación inequívoca de responsabilidades por subsistema evitaron duplicidades y aseguraron avances concurrentes sin bloqueos.</w:t>
            </w:r>
          </w:p>
          <w:p w14:paraId="62F5A640"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2. Contratos de interfaz vivos mediante Swagger UI (/docs): La documentación automática generada por FastAPI permitió que los desarrolladores de frontend y móvil consumieran los endpoints con payloads y respuestas exactamente tipadas.</w:t>
            </w:r>
          </w:p>
          <w:p w14:paraId="04F7C397"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3. Modelado de datos en 3FN y migraciones con Alembic: El esquema relacional en PostgreSQL 16 garantizó integridad estricta y sincronización inmediata entre entornos locales y la nube de Supabase.</w:t>
            </w:r>
          </w:p>
          <w:p w14:paraId="30171F45"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4. Canales de comunicación y minutas formales: Sesiones semanales de sincronización (APT-04 a APT-06) permitieron detectar y resolver tempranamente incompatibilidades técnicas.</w:t>
            </w:r>
          </w:p>
          <w:p w14:paraId="02176260" w14:textId="77777777" w:rsidR="0008340C" w:rsidRDefault="00000000">
            <w:pPr>
              <w:spacing w:before="80" w:after="60" w:line="240" w:lineRule="auto"/>
              <w:jc w:val="both"/>
              <w:rPr>
                <w:rFonts w:ascii="Calibri" w:hAnsi="Calibri"/>
                <w:sz w:val="21"/>
                <w:szCs w:val="21"/>
              </w:rPr>
            </w:pPr>
            <w:r>
              <w:rPr>
                <w:rFonts w:ascii="Calibri" w:hAnsi="Calibri"/>
                <w:b/>
                <w:bCs/>
                <w:color w:val="1F4E79"/>
                <w:sz w:val="21"/>
                <w:szCs w:val="21"/>
              </w:rPr>
              <w:t>Factores que han dificultado el desarrollo y acciones de solución implementadas:</w:t>
            </w:r>
          </w:p>
          <w:p w14:paraId="5625BB37"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1. Restricciones de puertos SMTP en Render: </w:t>
            </w:r>
            <w:r>
              <w:rPr>
                <w:rFonts w:ascii="Calibri" w:hAnsi="Calibri"/>
                <w:color w:val="262626"/>
                <w:sz w:val="21"/>
                <w:szCs w:val="21"/>
              </w:rPr>
              <w:t>El entorno cloud bloqueaba conexiones salientes convencionales de correo. Solución: Se investigó y migró exitosamente hacia la API REST oficial de Zoho Mail bajo OAuth2 de servidor a servidor con reintentos asíncronos en segundo plano (SC-02), alcanzando 99.9% de efectividad de entrega.</w:t>
            </w:r>
          </w:p>
          <w:p w14:paraId="008C0B9F"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2. Latencia en el cómputo dinámico del algoritmo ACWR (Riesgo RSG-01): </w:t>
            </w:r>
            <w:r>
              <w:rPr>
                <w:rFonts w:ascii="Calibri" w:hAnsi="Calibri"/>
                <w:color w:val="262626"/>
                <w:sz w:val="21"/>
                <w:szCs w:val="21"/>
              </w:rPr>
              <w:t>Calcular ventanas móviles de 7 y 28 días sobre miles de series de atletas generaba riesgo de cuello de botella en la base de datos. Solución: Se diseñaron consultas agregadas en SQL con índices compuestos en (athlete_id, workout_date) y almacenamiento de históricos en acwr_records, reduciendo el cálculo a &lt;100 ms por deportista.</w:t>
            </w:r>
          </w:p>
          <w:p w14:paraId="17A686B1"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lastRenderedPageBreak/>
              <w:t xml:space="preserve">3. Idempotencia y asincronía en Webhooks de Mercado Pago (RSG-06): </w:t>
            </w:r>
            <w:r>
              <w:rPr>
                <w:rFonts w:ascii="Calibri" w:hAnsi="Calibri"/>
                <w:color w:val="262626"/>
                <w:sz w:val="21"/>
                <w:szCs w:val="21"/>
              </w:rPr>
              <w:t>Riesgo de acreditación duplicada por reintentos de red. Solución: Se construyó validación criptográfica de firmas, verificación del identificador único de pago (payment_id) y transacciones atómicas con rollback en PostgreSQL.</w:t>
            </w:r>
          </w:p>
          <w:p w14:paraId="6A89E30E"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4. Consumo de memoria por animaciones en la app móvil: </w:t>
            </w:r>
            <w:r>
              <w:rPr>
                <w:rFonts w:ascii="Calibri" w:hAnsi="Calibri"/>
                <w:color w:val="262626"/>
                <w:sz w:val="21"/>
                <w:szCs w:val="21"/>
              </w:rPr>
              <w:t>Cargar GIFs de ejercicios ralentizaba dispositivos móviles de gama media. Solución: Se implementó un sistema de almacenamiento en caché local en el dispositivo, bajando la latencia de renderizado de 4 segundos a menos de 500 ms.</w:t>
            </w:r>
          </w:p>
          <w:p w14:paraId="46D8829D"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5. Arranque en frío (Cold Start) en hosting Render (RSG-07): </w:t>
            </w:r>
            <w:r>
              <w:rPr>
                <w:rFonts w:ascii="Calibri" w:hAnsi="Calibri"/>
                <w:color w:val="262626"/>
                <w:sz w:val="21"/>
                <w:szCs w:val="21"/>
              </w:rPr>
              <w:t>Demoras de hasta 40 segundos en la primera petición tras suspensión de la instancia. Solución: Se programó el componente visual ServerWakeUp en web y móvil para informar amigablemente al usuario sin congelar la interfaz.</w:t>
            </w:r>
          </w:p>
        </w:tc>
      </w:tr>
    </w:tbl>
    <w:p w14:paraId="54696BDD"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256A3A3B" w14:textId="77777777" w:rsidTr="00C5122E">
        <w:trPr>
          <w:trHeight w:val="1936"/>
        </w:trPr>
        <w:tc>
          <w:tcPr>
            <w:tcW w:w="5000" w:type="pct"/>
            <w:vAlign w:val="center"/>
          </w:tcPr>
          <w:p w14:paraId="6B5BE50F"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Detalle y Justificación de las Actividades Ajustadas o Modificadas (Fase 2):</w:t>
            </w:r>
          </w:p>
          <w:p w14:paraId="3F6F603E"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1. Solicitud de Cambio SC-01 (Arquitectura de la Solución): </w:t>
            </w:r>
            <w:r>
              <w:rPr>
                <w:rFonts w:ascii="Calibri" w:hAnsi="Calibri"/>
                <w:color w:val="262626"/>
                <w:sz w:val="21"/>
                <w:szCs w:val="21"/>
              </w:rPr>
              <w:t>Reemplazo del software de escritorio monolítico por una plataforma Web administrativa en React + Vite (Vercel) y una Aplicación Móvil en React Native (Expo) comunicadas vía API REST en FastAPI. Justificación: Brindar escalabilidad multi-sucursal, portabilidad y acceso en sala de entrenamiento al atleta.</w:t>
            </w:r>
          </w:p>
          <w:p w14:paraId="2ECC04AA"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2. Solicitud de Cambio SC-02 (Infraestructura de Mensajería): </w:t>
            </w:r>
            <w:r>
              <w:rPr>
                <w:rFonts w:ascii="Calibri" w:hAnsi="Calibri"/>
                <w:color w:val="262626"/>
                <w:sz w:val="21"/>
                <w:szCs w:val="21"/>
              </w:rPr>
              <w:t>Sustitución del protocolo de correo SMTP tradicional por la API REST oficial de Zoho Mail bajo autenticación OAuth2 de servidor a servidor. Justificación: Resolver de manera definitiva los bloqueos de puertos y timeouts de red originados en la infraestructura cloud de Render.</w:t>
            </w:r>
          </w:p>
          <w:p w14:paraId="63DBB4F0"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3. Solicitud de Cambio SC-03 (Calibración del Algoritmo ACWR): </w:t>
            </w:r>
            <w:r>
              <w:rPr>
                <w:rFonts w:ascii="Calibri" w:hAnsi="Calibri"/>
                <w:color w:val="262626"/>
                <w:sz w:val="21"/>
                <w:szCs w:val="21"/>
              </w:rPr>
              <w:t>Ajuste del umbral predictivo de fatiga en ACWR &gt; 1.5 e incorporación de regla de rate-limiting (máximo una notificación diaria de riesgo por atleta). Justificación: Evitar fatiga informativa en deportistas y entrenadores manteniendo un rigor fisiológico validado.</w:t>
            </w:r>
          </w:p>
          <w:p w14:paraId="7EB94A74"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4. Solicitud de Cambio SC-04 (Carta Gantt y Presupuesto en ERS): </w:t>
            </w:r>
            <w:r>
              <w:rPr>
                <w:rFonts w:ascii="Calibri" w:hAnsi="Calibri"/>
                <w:color w:val="262626"/>
                <w:sz w:val="21"/>
                <w:szCs w:val="21"/>
              </w:rPr>
              <w:t>Reajuste de plazos, dependencias y costos de desarrollo ($12.500.000 de honorarios) en el Informe ERS conforme a la arquitectura distribuida. Justificación: Transparentar la carga de trabajo real y los hitos de entrega quincenales del equipo.</w:t>
            </w:r>
          </w:p>
        </w:tc>
      </w:tr>
    </w:tbl>
    <w:p w14:paraId="7748A719" w14:textId="77777777" w:rsidR="0003309E" w:rsidRDefault="0003309E" w:rsidP="0003309E">
      <w:pPr>
        <w:spacing w:after="0" w:line="240" w:lineRule="auto"/>
        <w:jc w:val="both"/>
        <w:rPr>
          <w:rFonts w:ascii="Calibri" w:hAnsi="Calibri" w:cs="Arial"/>
          <w:i/>
          <w:color w:val="548DD4"/>
          <w:sz w:val="20"/>
          <w:szCs w:val="20"/>
          <w:lang w:eastAsia="es-CL"/>
        </w:rPr>
      </w:pPr>
    </w:p>
    <w:p w14:paraId="393F56BB"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62A17FB8" w14:textId="77777777" w:rsidTr="00C5122E">
        <w:trPr>
          <w:trHeight w:val="1966"/>
        </w:trPr>
        <w:tc>
          <w:tcPr>
            <w:tcW w:w="5000" w:type="pct"/>
            <w:vAlign w:val="center"/>
          </w:tcPr>
          <w:p w14:paraId="4DEF0618"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Estado de Actividades No Iniciadas o Retrasadas:</w:t>
            </w:r>
          </w:p>
          <w:p w14:paraId="65C9AF77"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Al cierre de la Fase 2 (12 de octubre de 2026), el proyecto NovaFit Analytics Suite NO presenta actividades críticas postergadas ni retrasadas que comprometan la línea base de la arquitectura ni los objetivos de la asignatura. El 100% de los entregables centrales (Backend SaaS, Panel Web, App Móvil, Base de Datos, Pagos Mercado Pago y Motor ACWR) se encuentran completamente operativos, habiendo superado los 16 casos de prueba del Plan de Pruebas de Software.</w:t>
            </w:r>
          </w:p>
          <w:p w14:paraId="055D65E4" w14:textId="77777777" w:rsidR="0008340C" w:rsidRDefault="00000000">
            <w:pPr>
              <w:spacing w:before="60" w:after="60" w:line="240" w:lineRule="auto"/>
              <w:jc w:val="both"/>
              <w:rPr>
                <w:rFonts w:ascii="Calibri" w:hAnsi="Calibri"/>
                <w:sz w:val="21"/>
                <w:szCs w:val="21"/>
              </w:rPr>
            </w:pPr>
            <w:r>
              <w:rPr>
                <w:rFonts w:ascii="Calibri" w:hAnsi="Calibri"/>
                <w:b/>
                <w:bCs/>
                <w:color w:val="1F4E79"/>
                <w:sz w:val="21"/>
                <w:szCs w:val="21"/>
              </w:rPr>
              <w:t>Tareas complementarias calendarizadas para la Fase 3:</w:t>
            </w:r>
          </w:p>
          <w:p w14:paraId="6B1A8064"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1. Calibración de umbrales biométricos adicionales en la app móvil: </w:t>
            </w:r>
            <w:r>
              <w:rPr>
                <w:rFonts w:ascii="Calibri" w:hAnsi="Calibri"/>
                <w:color w:val="262626"/>
                <w:sz w:val="21"/>
                <w:szCs w:val="21"/>
              </w:rPr>
              <w:t>El registro de horas de sueño e hidratación complementaria se programó para el inicio del sprint de la Fase 3, por corresponder a valor agregado no esencial para la validación del modelo de negocio ni de la tesorería de los gimnasios.</w:t>
            </w:r>
          </w:p>
          <w:p w14:paraId="72BC6EBE" w14:textId="77777777" w:rsidR="0008340C" w:rsidRDefault="00000000">
            <w:pPr>
              <w:spacing w:before="80" w:after="80" w:line="240" w:lineRule="auto"/>
              <w:jc w:val="both"/>
              <w:rPr>
                <w:rFonts w:ascii="Calibri" w:hAnsi="Calibri"/>
                <w:sz w:val="21"/>
                <w:szCs w:val="21"/>
              </w:rPr>
            </w:pPr>
            <w:r>
              <w:rPr>
                <w:rFonts w:ascii="Calibri" w:hAnsi="Calibri"/>
                <w:b/>
                <w:bCs/>
                <w:color w:val="1F4E79"/>
                <w:sz w:val="21"/>
                <w:szCs w:val="21"/>
              </w:rPr>
              <w:t xml:space="preserve">2. Renovación del Token de WhatsApp Cloud API: </w:t>
            </w:r>
            <w:r>
              <w:rPr>
                <w:rFonts w:ascii="Calibri" w:hAnsi="Calibri"/>
                <w:color w:val="262626"/>
                <w:sz w:val="21"/>
                <w:szCs w:val="21"/>
              </w:rPr>
              <w:t>Dado que los tokens de desarrollo de Meta Business poseen una vigencia temporal de corta duración, se acordó realizar su renovación en la fase final inmediatamente previa a la defensa oral, asegurando su total estabilidad durante la demostración en vivo.</w:t>
            </w:r>
          </w:p>
          <w:p w14:paraId="41F156F3" w14:textId="77777777" w:rsidR="0008340C" w:rsidRDefault="00000000">
            <w:pPr>
              <w:spacing w:before="80" w:after="80" w:line="240" w:lineRule="auto"/>
              <w:jc w:val="both"/>
              <w:rPr>
                <w:rFonts w:ascii="Calibri" w:hAnsi="Calibri"/>
                <w:sz w:val="21"/>
                <w:szCs w:val="21"/>
              </w:rPr>
            </w:pPr>
            <w:r>
              <w:rPr>
                <w:rFonts w:ascii="Calibri" w:hAnsi="Calibri"/>
                <w:color w:val="262626"/>
                <w:sz w:val="21"/>
                <w:szCs w:val="21"/>
              </w:rPr>
              <w:t>Estrategia para Fase 3: El equipo se concentrará en pruebas de estrés concurrente con Locust, pruebas de aceptación con usuarios (UAT), elaboración de manuales y preparación técnica de la defensa de portafolio.</w:t>
            </w:r>
          </w:p>
        </w:tc>
      </w:tr>
    </w:tbl>
    <w:p w14:paraId="68AD8EB5"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3DDE0" w14:textId="77777777" w:rsidR="00D37774" w:rsidRDefault="00D37774" w:rsidP="0003309E">
      <w:pPr>
        <w:spacing w:after="0" w:line="240" w:lineRule="auto"/>
      </w:pPr>
      <w:r>
        <w:separator/>
      </w:r>
    </w:p>
  </w:endnote>
  <w:endnote w:type="continuationSeparator" w:id="0">
    <w:p w14:paraId="6FFADB5B" w14:textId="77777777" w:rsidR="00D37774" w:rsidRDefault="00D3777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BC0B" w14:textId="77777777" w:rsidR="00D37774" w:rsidRDefault="00D37774" w:rsidP="0003309E">
      <w:pPr>
        <w:spacing w:after="0" w:line="240" w:lineRule="auto"/>
      </w:pPr>
      <w:r>
        <w:separator/>
      </w:r>
    </w:p>
  </w:footnote>
  <w:footnote w:type="continuationSeparator" w:id="0">
    <w:p w14:paraId="7660F158" w14:textId="77777777" w:rsidR="00D37774" w:rsidRDefault="00D37774" w:rsidP="0003309E">
      <w:pPr>
        <w:spacing w:after="0" w:line="240" w:lineRule="auto"/>
      </w:pPr>
      <w:r>
        <w:continuationSeparator/>
      </w:r>
    </w:p>
  </w:footnote>
  <w:footnote w:id="1">
    <w:p w14:paraId="1CF490B8"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3AE5D8EB" w14:textId="77777777" w:rsidTr="00C44557">
      <w:trPr>
        <w:trHeight w:val="697"/>
      </w:trPr>
      <w:tc>
        <w:tcPr>
          <w:tcW w:w="5954" w:type="dxa"/>
          <w:tcBorders>
            <w:top w:val="nil"/>
            <w:left w:val="nil"/>
            <w:bottom w:val="nil"/>
            <w:right w:val="nil"/>
          </w:tcBorders>
        </w:tcPr>
        <w:p w14:paraId="074F575A"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09D6C3FB"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F293513"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EBF7FFF"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3975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8340C"/>
    <w:rsid w:val="000A1331"/>
    <w:rsid w:val="00145B36"/>
    <w:rsid w:val="00147283"/>
    <w:rsid w:val="003608EA"/>
    <w:rsid w:val="00470CE4"/>
    <w:rsid w:val="004B75F6"/>
    <w:rsid w:val="00521026"/>
    <w:rsid w:val="00545F23"/>
    <w:rsid w:val="00563B43"/>
    <w:rsid w:val="00586C9C"/>
    <w:rsid w:val="005A0A7C"/>
    <w:rsid w:val="005B4D4A"/>
    <w:rsid w:val="005E0100"/>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57277"/>
    <w:rsid w:val="00B31361"/>
    <w:rsid w:val="00B4258F"/>
    <w:rsid w:val="00B8164D"/>
    <w:rsid w:val="00BE1024"/>
    <w:rsid w:val="00C20F3D"/>
    <w:rsid w:val="00C44557"/>
    <w:rsid w:val="00C5122E"/>
    <w:rsid w:val="00CE0AA8"/>
    <w:rsid w:val="00D37774"/>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EAC6"/>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2151</Words>
  <Characters>11834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VICENTE . GILBERT ESPINOSA</cp:lastModifiedBy>
  <cp:revision>1</cp:revision>
  <dcterms:created xsi:type="dcterms:W3CDTF">2022-08-24T18:14:00Z</dcterms:created>
  <dcterms:modified xsi:type="dcterms:W3CDTF">2026-10-27T01:09:00Z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