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360" w:line="276" w:lineRule="auto"/>
        <w:jc w:val="center"/>
        <w:rPr/>
      </w:pPr>
      <w:r w:rsidDel="00000000" w:rsidR="00000000" w:rsidRPr="00000000">
        <w:rPr>
          <w:rFonts w:ascii="Calibri" w:cs="Calibri" w:eastAsia="Calibri" w:hAnsi="Calibri"/>
          <w:b w:val="1"/>
          <w:bCs w:val="1"/>
          <w:i w:val="0"/>
          <w:iCs w:val="0"/>
          <w:color w:val="595959"/>
          <w:sz w:val="24"/>
          <w:szCs w:val="24"/>
          <w:rtl w:val="0"/>
        </w:rPr>
        <w:t xml:space="preserve">DUOC UC</w:t>
      </w:r>
      <w:r w:rsidDel="00000000" w:rsidR="00000000" w:rsidRPr="00000000">
        <w:rPr>
          <w:rFonts w:ascii="Calibri" w:cs="Calibri" w:eastAsia="Calibri" w:hAnsi="Calibri"/>
          <w:b w:val="1"/>
          <w:bCs w:val="1"/>
          <w:color w:val="595959"/>
          <w:sz w:val="24"/>
          <w:szCs w:val="24"/>
          <w:rtl w:val="0"/>
        </w:rPr>
        <w:t xml:space="preserve"> </w:t>
      </w:r>
      <w:r w:rsidDel="00000000" w:rsidR="00000000" w:rsidRPr="00000000">
        <w:rPr>
          <w:rFonts w:ascii="Calibri" w:cs="Calibri" w:eastAsia="Calibri" w:hAnsi="Calibri"/>
          <w:b w:val="1"/>
          <w:bCs w:val="1"/>
          <w:i w:val="0"/>
          <w:iCs w:val="0"/>
          <w:color w:val="595959"/>
          <w:sz w:val="24"/>
          <w:szCs w:val="24"/>
          <w:rtl w:val="0"/>
        </w:rPr>
        <w:t xml:space="preserve">ESCUELA DE INFORMÁTICA Y TELECOMUNICACIONES</w:t>
      </w:r>
      <w:r w:rsidDel="00000000" w:rsidR="00000000" w:rsidRPr="00000000">
        <w:rPr>
          <w:rtl w:val="0"/>
        </w:rPr>
      </w:r>
    </w:p>
    <w:p w:rsidR="00000000" w:rsidDel="00000000" w:rsidP="00000000" w:rsidRDefault="00000000" w:rsidRPr="00000000" w14:paraId="00000002">
      <w:pPr>
        <w:spacing w:after="720" w:before="0" w:line="276" w:lineRule="auto"/>
        <w:jc w:val="center"/>
        <w:rPr/>
      </w:pPr>
      <w:r w:rsidDel="00000000" w:rsidR="00000000" w:rsidRPr="00000000">
        <w:rPr>
          <w:rFonts w:ascii="Calibri" w:cs="Calibri" w:eastAsia="Calibri" w:hAnsi="Calibri"/>
          <w:b w:val="0"/>
          <w:bCs w:val="0"/>
          <w:i w:val="1"/>
          <w:iCs w:val="1"/>
          <w:color w:val="787878"/>
          <w:sz w:val="22"/>
          <w:szCs w:val="22"/>
          <w:rtl w:val="0"/>
        </w:rPr>
        <w:t xml:space="preserve">Ingeniería en Informática | </w:t>
      </w:r>
      <w:r w:rsidDel="00000000" w:rsidR="00000000" w:rsidRPr="00000000">
        <w:rPr>
          <w:rFonts w:ascii="Calibri" w:cs="Calibri" w:eastAsia="Calibri" w:hAnsi="Calibri"/>
          <w:i w:val="1"/>
          <w:iCs w:val="1"/>
          <w:color w:val="787878"/>
          <w:rtl w:val="0"/>
        </w:rPr>
        <w:t xml:space="preserve">Proyecto</w:t>
      </w:r>
      <w:r w:rsidDel="00000000" w:rsidR="00000000" w:rsidRPr="00000000">
        <w:rPr>
          <w:rFonts w:ascii="Calibri" w:cs="Calibri" w:eastAsia="Calibri" w:hAnsi="Calibri"/>
          <w:b w:val="0"/>
          <w:bCs w:val="0"/>
          <w:i w:val="1"/>
          <w:iCs w:val="1"/>
          <w:color w:val="787878"/>
          <w:sz w:val="22"/>
          <w:szCs w:val="22"/>
          <w:rtl w:val="0"/>
        </w:rPr>
        <w:t xml:space="preserve"> de Título</w:t>
      </w:r>
      <w:r w:rsidDel="00000000" w:rsidR="00000000" w:rsidRPr="00000000">
        <w:rPr>
          <w:rtl w:val="0"/>
        </w:rPr>
      </w:r>
    </w:p>
    <w:p w:rsidR="00000000" w:rsidDel="00000000" w:rsidP="00000000" w:rsidRDefault="00000000" w:rsidRPr="00000000" w14:paraId="00000003">
      <w:pPr>
        <w:spacing w:after="240" w:before="480" w:line="276" w:lineRule="auto"/>
        <w:jc w:val="center"/>
        <w:rPr/>
      </w:pPr>
      <w:r w:rsidDel="00000000" w:rsidR="00000000" w:rsidRPr="00000000">
        <w:rPr>
          <w:rFonts w:ascii="Calibri" w:cs="Calibri" w:eastAsia="Calibri" w:hAnsi="Calibri"/>
          <w:b w:val="1"/>
          <w:bCs w:val="1"/>
          <w:i w:val="0"/>
          <w:iCs w:val="0"/>
          <w:color w:val="1f4e79"/>
          <w:sz w:val="40"/>
          <w:szCs w:val="40"/>
          <w:rtl w:val="0"/>
        </w:rPr>
        <w:t xml:space="preserve">DOCUMENTO DE MODELAMIENTO DE PROCESOS DE NEGOCIO</w:t>
        <w:br w:type="textWrapping"/>
        <w:t xml:space="preserve">(BPMN MODELOS AS-IS Y TO-BE)</w:t>
      </w:r>
      <w:r w:rsidDel="00000000" w:rsidR="00000000" w:rsidRPr="00000000">
        <w:rPr>
          <w:rtl w:val="0"/>
        </w:rPr>
      </w:r>
    </w:p>
    <w:p w:rsidR="00000000" w:rsidDel="00000000" w:rsidP="00000000" w:rsidRDefault="00000000" w:rsidRPr="00000000" w14:paraId="00000004">
      <w:pPr>
        <w:spacing w:after="960" w:before="0" w:line="276" w:lineRule="auto"/>
        <w:jc w:val="center"/>
        <w:rPr/>
      </w:pPr>
      <w:r w:rsidDel="00000000" w:rsidR="00000000" w:rsidRPr="00000000">
        <w:rPr>
          <w:rFonts w:ascii="Calibri" w:cs="Calibri" w:eastAsia="Calibri" w:hAnsi="Calibri"/>
          <w:b w:val="1"/>
          <w:bCs w:val="1"/>
          <w:i w:val="0"/>
          <w:iCs w:val="0"/>
          <w:color w:val="2e75b6"/>
          <w:sz w:val="26"/>
          <w:szCs w:val="26"/>
          <w:rtl w:val="0"/>
        </w:rPr>
        <w:t xml:space="preserve">NovaFit Analytics Suite</w:t>
        <w:br w:type="textWrapping"/>
        <w:t xml:space="preserve">Plataforma SaaS para Gestión Integral de Gimnasios y Optimización del Rendimiento Deportivo</w:t>
      </w:r>
      <w:r w:rsidDel="00000000" w:rsidR="00000000" w:rsidRPr="00000000">
        <w:rPr>
          <w:rtl w:val="0"/>
        </w:rPr>
      </w:r>
    </w:p>
    <w:p w:rsidR="00000000" w:rsidDel="00000000" w:rsidP="00000000" w:rsidRDefault="00000000" w:rsidRPr="00000000" w14:paraId="00000005">
      <w:pPr>
        <w:spacing w:after="360" w:before="720" w:line="276" w:lineRule="auto"/>
        <w:jc w:val="center"/>
        <w:rPr/>
      </w:pPr>
      <w:r w:rsidDel="00000000" w:rsidR="00000000" w:rsidRPr="00000000">
        <w:rPr>
          <w:rFonts w:ascii="Calibri" w:cs="Calibri" w:eastAsia="Calibri" w:hAnsi="Calibri"/>
          <w:b w:val="0"/>
          <w:bCs w:val="0"/>
          <w:i w:val="0"/>
          <w:iCs w:val="0"/>
          <w:color w:val="3c3c3c"/>
          <w:sz w:val="21"/>
          <w:szCs w:val="21"/>
          <w:rtl w:val="0"/>
        </w:rPr>
        <w:t xml:space="preserve">Equipo de Proyecto — Grupo 4:</w:t>
        <w:br w:type="textWrapping"/>
        <w:t xml:space="preserve">• Felipe Romero Díaz (Project Manager &amp; Tech Lead)</w:t>
        <w:br w:type="textWrapping"/>
        <w:t xml:space="preserve">• Vicente Gilbert Espinosa (Backend Developer)</w:t>
        <w:br w:type="textWrapping"/>
        <w:t xml:space="preserve">• Yulian Silva (DBA &amp; Data Architect)</w:t>
        <w:br w:type="textWrapping"/>
        <w:t xml:space="preserve">• Antonio Maturana (Frontend &amp; Mobile Developer)</w:t>
        <w:br w:type="textWrapping"/>
        <w:t xml:space="preserve">• Steven San Martín (Analista QA)</w:t>
        <w:br w:type="textWrapping"/>
        <w:br w:type="textWrapping"/>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spacing w:after="120" w:before="240" w:line="276" w:lineRule="auto"/>
        <w:jc w:val="left"/>
        <w:rPr/>
      </w:pPr>
      <w:r w:rsidDel="00000000" w:rsidR="00000000" w:rsidRPr="00000000">
        <w:rPr>
          <w:rFonts w:ascii="Calibri" w:cs="Calibri" w:eastAsia="Calibri" w:hAnsi="Calibri"/>
          <w:b w:val="1"/>
          <w:bCs w:val="1"/>
          <w:i w:val="0"/>
          <w:iCs w:val="0"/>
          <w:color w:val="1f4e79"/>
          <w:sz w:val="26"/>
          <w:szCs w:val="26"/>
          <w:rtl w:val="0"/>
        </w:rPr>
        <w:t xml:space="preserve">Control de Versiones del Documento</w:t>
      </w:r>
      <w:r w:rsidDel="00000000" w:rsidR="00000000" w:rsidRPr="00000000">
        <w:rPr>
          <w:rtl w:val="0"/>
        </w:rPr>
      </w:r>
    </w:p>
    <w:tbl>
      <w:tblPr>
        <w:tblStyle w:val="Table1"/>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f4e79" w:val="clear"/>
          </w:tcPr>
          <w:p w:rsidR="00000000" w:rsidDel="00000000" w:rsidP="00000000" w:rsidRDefault="00000000" w:rsidRPr="00000000" w14:paraId="00000008">
            <w:pPr>
              <w:spacing w:after="120" w:before="0" w:line="276" w:lineRule="auto"/>
              <w:jc w:val="center"/>
              <w:rPr/>
            </w:pPr>
            <w:r w:rsidDel="00000000" w:rsidR="00000000" w:rsidRPr="00000000">
              <w:rPr>
                <w:rFonts w:ascii="Calibri" w:cs="Calibri" w:eastAsia="Calibri" w:hAnsi="Calibri"/>
                <w:b w:val="1"/>
                <w:bCs w:val="1"/>
                <w:i w:val="0"/>
                <w:iCs w:val="0"/>
                <w:color w:val="ffffff"/>
                <w:sz w:val="19"/>
                <w:szCs w:val="19"/>
                <w:rtl w:val="0"/>
              </w:rPr>
              <w:t xml:space="preserve">Versión</w:t>
            </w:r>
            <w:r w:rsidDel="00000000" w:rsidR="00000000" w:rsidRPr="00000000">
              <w:rPr>
                <w:rtl w:val="0"/>
              </w:rPr>
            </w:r>
          </w:p>
        </w:tc>
        <w:tc>
          <w:tcPr>
            <w:shd w:fill="1f4e79" w:val="clear"/>
          </w:tcPr>
          <w:p w:rsidR="00000000" w:rsidDel="00000000" w:rsidP="00000000" w:rsidRDefault="00000000" w:rsidRPr="00000000" w14:paraId="00000009">
            <w:pPr>
              <w:spacing w:after="120" w:before="0" w:line="276" w:lineRule="auto"/>
              <w:jc w:val="center"/>
              <w:rPr/>
            </w:pPr>
            <w:r w:rsidDel="00000000" w:rsidR="00000000" w:rsidRPr="00000000">
              <w:rPr>
                <w:rFonts w:ascii="Calibri" w:cs="Calibri" w:eastAsia="Calibri" w:hAnsi="Calibri"/>
                <w:b w:val="1"/>
                <w:bCs w:val="1"/>
                <w:i w:val="0"/>
                <w:iCs w:val="0"/>
                <w:color w:val="ffffff"/>
                <w:sz w:val="19"/>
                <w:szCs w:val="19"/>
                <w:rtl w:val="0"/>
              </w:rPr>
              <w:t xml:space="preserve">Fecha</w:t>
            </w:r>
            <w:r w:rsidDel="00000000" w:rsidR="00000000" w:rsidRPr="00000000">
              <w:rPr>
                <w:rtl w:val="0"/>
              </w:rPr>
            </w:r>
          </w:p>
        </w:tc>
        <w:tc>
          <w:tcPr>
            <w:shd w:fill="1f4e79" w:val="clear"/>
          </w:tcPr>
          <w:p w:rsidR="00000000" w:rsidDel="00000000" w:rsidP="00000000" w:rsidRDefault="00000000" w:rsidRPr="00000000" w14:paraId="0000000A">
            <w:pPr>
              <w:spacing w:after="120" w:before="0" w:line="276" w:lineRule="auto"/>
              <w:jc w:val="center"/>
              <w:rPr/>
            </w:pPr>
            <w:r w:rsidDel="00000000" w:rsidR="00000000" w:rsidRPr="00000000">
              <w:rPr>
                <w:rFonts w:ascii="Calibri" w:cs="Calibri" w:eastAsia="Calibri" w:hAnsi="Calibri"/>
                <w:b w:val="1"/>
                <w:bCs w:val="1"/>
                <w:i w:val="0"/>
                <w:iCs w:val="0"/>
                <w:color w:val="ffffff"/>
                <w:sz w:val="19"/>
                <w:szCs w:val="19"/>
                <w:rtl w:val="0"/>
              </w:rPr>
              <w:t xml:space="preserve">Autor</w:t>
            </w:r>
            <w:r w:rsidDel="00000000" w:rsidR="00000000" w:rsidRPr="00000000">
              <w:rPr>
                <w:rtl w:val="0"/>
              </w:rPr>
            </w:r>
          </w:p>
        </w:tc>
        <w:tc>
          <w:tcPr>
            <w:shd w:fill="1f4e79" w:val="clear"/>
          </w:tcPr>
          <w:p w:rsidR="00000000" w:rsidDel="00000000" w:rsidP="00000000" w:rsidRDefault="00000000" w:rsidRPr="00000000" w14:paraId="0000000B">
            <w:pPr>
              <w:spacing w:after="120" w:before="0" w:line="276" w:lineRule="auto"/>
              <w:jc w:val="center"/>
              <w:rPr/>
            </w:pPr>
            <w:r w:rsidDel="00000000" w:rsidR="00000000" w:rsidRPr="00000000">
              <w:rPr>
                <w:rFonts w:ascii="Calibri" w:cs="Calibri" w:eastAsia="Calibri" w:hAnsi="Calibri"/>
                <w:b w:val="1"/>
                <w:bCs w:val="1"/>
                <w:i w:val="0"/>
                <w:iCs w:val="0"/>
                <w:color w:val="ffffff"/>
                <w:sz w:val="19"/>
                <w:szCs w:val="19"/>
                <w:rtl w:val="0"/>
              </w:rPr>
              <w:t xml:space="preserve">Descripción del Cambio</w:t>
            </w:r>
            <w:r w:rsidDel="00000000" w:rsidR="00000000" w:rsidRPr="00000000">
              <w:rPr>
                <w:rtl w:val="0"/>
              </w:rPr>
            </w:r>
          </w:p>
        </w:tc>
      </w:tr>
      <w:tr>
        <w:trPr>
          <w:cantSplit w:val="0"/>
          <w:tblHeader w:val="0"/>
        </w:trPr>
        <w:tc>
          <w:tcPr/>
          <w:p w:rsidR="00000000" w:rsidDel="00000000" w:rsidP="00000000" w:rsidRDefault="00000000" w:rsidRPr="00000000" w14:paraId="0000000C">
            <w:pPr>
              <w:spacing w:after="120" w:before="0" w:line="276" w:lineRule="auto"/>
              <w:jc w:val="center"/>
              <w:rPr/>
            </w:pPr>
            <w:r w:rsidDel="00000000" w:rsidR="00000000" w:rsidRPr="00000000">
              <w:rPr>
                <w:rFonts w:ascii="Calibri" w:cs="Calibri" w:eastAsia="Calibri" w:hAnsi="Calibri"/>
                <w:b w:val="0"/>
                <w:bCs w:val="0"/>
                <w:i w:val="0"/>
                <w:iCs w:val="0"/>
                <w:color w:val="282828"/>
                <w:sz w:val="18"/>
                <w:szCs w:val="18"/>
                <w:rtl w:val="0"/>
              </w:rPr>
              <w:t xml:space="preserve">1.0</w:t>
            </w:r>
            <w:r w:rsidDel="00000000" w:rsidR="00000000" w:rsidRPr="00000000">
              <w:rPr>
                <w:rtl w:val="0"/>
              </w:rPr>
            </w:r>
          </w:p>
        </w:tc>
        <w:tc>
          <w:tcPr/>
          <w:p w:rsidR="00000000" w:rsidDel="00000000" w:rsidP="00000000" w:rsidRDefault="00000000" w:rsidRPr="00000000" w14:paraId="0000000D">
            <w:pPr>
              <w:spacing w:after="120" w:before="0" w:line="276" w:lineRule="auto"/>
              <w:jc w:val="center"/>
              <w:rPr/>
            </w:pPr>
            <w:r w:rsidDel="00000000" w:rsidR="00000000" w:rsidRPr="00000000">
              <w:rPr>
                <w:rFonts w:ascii="Calibri" w:cs="Calibri" w:eastAsia="Calibri" w:hAnsi="Calibri"/>
                <w:b w:val="0"/>
                <w:bCs w:val="0"/>
                <w:i w:val="0"/>
                <w:iCs w:val="0"/>
                <w:color w:val="282828"/>
                <w:sz w:val="18"/>
                <w:szCs w:val="18"/>
                <w:rtl w:val="0"/>
              </w:rPr>
              <w:t xml:space="preserve">18-08-2026</w:t>
            </w:r>
            <w:r w:rsidDel="00000000" w:rsidR="00000000" w:rsidRPr="00000000">
              <w:rPr>
                <w:rtl w:val="0"/>
              </w:rPr>
            </w:r>
          </w:p>
        </w:tc>
        <w:tc>
          <w:tcPr/>
          <w:p w:rsidR="00000000" w:rsidDel="00000000" w:rsidP="00000000" w:rsidRDefault="00000000" w:rsidRPr="00000000" w14:paraId="0000000E">
            <w:pPr>
              <w:spacing w:after="120" w:before="0" w:line="276" w:lineRule="auto"/>
              <w:jc w:val="center"/>
              <w:rPr/>
            </w:pPr>
            <w:r w:rsidDel="00000000" w:rsidR="00000000" w:rsidRPr="00000000">
              <w:rPr>
                <w:rFonts w:ascii="Calibri" w:cs="Calibri" w:eastAsia="Calibri" w:hAnsi="Calibri"/>
                <w:b w:val="0"/>
                <w:bCs w:val="0"/>
                <w:i w:val="0"/>
                <w:iCs w:val="0"/>
                <w:color w:val="282828"/>
                <w:sz w:val="18"/>
                <w:szCs w:val="18"/>
                <w:rtl w:val="0"/>
              </w:rPr>
              <w:t xml:space="preserve">Antonio Maturana</w:t>
            </w:r>
            <w:r w:rsidDel="00000000" w:rsidR="00000000" w:rsidRPr="00000000">
              <w:rPr>
                <w:rtl w:val="0"/>
              </w:rPr>
            </w:r>
          </w:p>
        </w:tc>
        <w:tc>
          <w:tcPr/>
          <w:p w:rsidR="00000000" w:rsidDel="00000000" w:rsidP="00000000" w:rsidRDefault="00000000" w:rsidRPr="00000000" w14:paraId="0000000F">
            <w:pPr>
              <w:spacing w:after="120" w:before="0" w:line="276" w:lineRule="auto"/>
              <w:jc w:val="left"/>
              <w:rPr/>
            </w:pPr>
            <w:r w:rsidDel="00000000" w:rsidR="00000000" w:rsidRPr="00000000">
              <w:rPr>
                <w:rFonts w:ascii="Calibri" w:cs="Calibri" w:eastAsia="Calibri" w:hAnsi="Calibri"/>
                <w:b w:val="0"/>
                <w:bCs w:val="0"/>
                <w:i w:val="0"/>
                <w:iCs w:val="0"/>
                <w:color w:val="282828"/>
                <w:sz w:val="18"/>
                <w:szCs w:val="18"/>
                <w:rtl w:val="0"/>
              </w:rPr>
              <w:t xml:space="preserve">Levantamiento preliminar de flujos de negocio AS-IS (Fase 1).</w:t>
            </w:r>
            <w:r w:rsidDel="00000000" w:rsidR="00000000" w:rsidRPr="00000000">
              <w:rPr>
                <w:rtl w:val="0"/>
              </w:rPr>
            </w:r>
          </w:p>
        </w:tc>
      </w:tr>
      <w:tr>
        <w:trPr>
          <w:cantSplit w:val="0"/>
          <w:tblHeader w:val="0"/>
        </w:trPr>
        <w:tc>
          <w:tcPr/>
          <w:p w:rsidR="00000000" w:rsidDel="00000000" w:rsidP="00000000" w:rsidRDefault="00000000" w:rsidRPr="00000000" w14:paraId="00000010">
            <w:pPr>
              <w:spacing w:after="120" w:before="0" w:line="276" w:lineRule="auto"/>
              <w:jc w:val="center"/>
              <w:rPr/>
            </w:pPr>
            <w:r w:rsidDel="00000000" w:rsidR="00000000" w:rsidRPr="00000000">
              <w:rPr>
                <w:rFonts w:ascii="Calibri" w:cs="Calibri" w:eastAsia="Calibri" w:hAnsi="Calibri"/>
                <w:b w:val="0"/>
                <w:bCs w:val="0"/>
                <w:i w:val="0"/>
                <w:iCs w:val="0"/>
                <w:color w:val="282828"/>
                <w:sz w:val="18"/>
                <w:szCs w:val="18"/>
                <w:rtl w:val="0"/>
              </w:rPr>
              <w:t xml:space="preserve">1.5</w:t>
            </w:r>
            <w:r w:rsidDel="00000000" w:rsidR="00000000" w:rsidRPr="00000000">
              <w:rPr>
                <w:rtl w:val="0"/>
              </w:rPr>
            </w:r>
          </w:p>
        </w:tc>
        <w:tc>
          <w:tcPr/>
          <w:p w:rsidR="00000000" w:rsidDel="00000000" w:rsidP="00000000" w:rsidRDefault="00000000" w:rsidRPr="00000000" w14:paraId="00000011">
            <w:pPr>
              <w:spacing w:after="120" w:before="0" w:line="276" w:lineRule="auto"/>
              <w:jc w:val="center"/>
              <w:rPr/>
            </w:pPr>
            <w:r w:rsidDel="00000000" w:rsidR="00000000" w:rsidRPr="00000000">
              <w:rPr>
                <w:rFonts w:ascii="Calibri" w:cs="Calibri" w:eastAsia="Calibri" w:hAnsi="Calibri"/>
                <w:b w:val="0"/>
                <w:bCs w:val="0"/>
                <w:i w:val="0"/>
                <w:iCs w:val="0"/>
                <w:color w:val="282828"/>
                <w:sz w:val="18"/>
                <w:szCs w:val="18"/>
                <w:rtl w:val="0"/>
              </w:rPr>
              <w:t xml:space="preserve">25-09-2026</w:t>
            </w:r>
            <w:r w:rsidDel="00000000" w:rsidR="00000000" w:rsidRPr="00000000">
              <w:rPr>
                <w:rtl w:val="0"/>
              </w:rPr>
            </w:r>
          </w:p>
        </w:tc>
        <w:tc>
          <w:tcPr/>
          <w:p w:rsidR="00000000" w:rsidDel="00000000" w:rsidP="00000000" w:rsidRDefault="00000000" w:rsidRPr="00000000" w14:paraId="00000012">
            <w:pPr>
              <w:spacing w:after="120" w:before="0" w:line="276" w:lineRule="auto"/>
              <w:jc w:val="center"/>
              <w:rPr/>
            </w:pPr>
            <w:r w:rsidDel="00000000" w:rsidR="00000000" w:rsidRPr="00000000">
              <w:rPr>
                <w:rFonts w:ascii="Calibri" w:cs="Calibri" w:eastAsia="Calibri" w:hAnsi="Calibri"/>
                <w:b w:val="0"/>
                <w:bCs w:val="0"/>
                <w:i w:val="0"/>
                <w:iCs w:val="0"/>
                <w:color w:val="282828"/>
                <w:sz w:val="18"/>
                <w:szCs w:val="18"/>
                <w:rtl w:val="0"/>
              </w:rPr>
              <w:t xml:space="preserve">Vicente Gilbert</w:t>
            </w:r>
            <w:r w:rsidDel="00000000" w:rsidR="00000000" w:rsidRPr="00000000">
              <w:rPr>
                <w:rtl w:val="0"/>
              </w:rPr>
            </w:r>
          </w:p>
        </w:tc>
        <w:tc>
          <w:tcPr/>
          <w:p w:rsidR="00000000" w:rsidDel="00000000" w:rsidP="00000000" w:rsidRDefault="00000000" w:rsidRPr="00000000" w14:paraId="00000013">
            <w:pPr>
              <w:spacing w:after="120" w:before="0" w:line="276" w:lineRule="auto"/>
              <w:jc w:val="left"/>
              <w:rPr/>
            </w:pPr>
            <w:r w:rsidDel="00000000" w:rsidR="00000000" w:rsidRPr="00000000">
              <w:rPr>
                <w:rFonts w:ascii="Calibri" w:cs="Calibri" w:eastAsia="Calibri" w:hAnsi="Calibri"/>
                <w:b w:val="0"/>
                <w:bCs w:val="0"/>
                <w:i w:val="0"/>
                <w:iCs w:val="0"/>
                <w:color w:val="282828"/>
                <w:sz w:val="18"/>
                <w:szCs w:val="18"/>
                <w:rtl w:val="0"/>
              </w:rPr>
              <w:t xml:space="preserve">Modelamiento preliminar TO-BE con pasarela Mercado Pago y motor ACWR.</w:t>
            </w:r>
            <w:r w:rsidDel="00000000" w:rsidR="00000000" w:rsidRPr="00000000">
              <w:rPr>
                <w:rtl w:val="0"/>
              </w:rPr>
            </w:r>
          </w:p>
        </w:tc>
      </w:tr>
      <w:tr>
        <w:trPr>
          <w:cantSplit w:val="0"/>
          <w:tblHeader w:val="0"/>
        </w:trPr>
        <w:tc>
          <w:tcPr/>
          <w:p w:rsidR="00000000" w:rsidDel="00000000" w:rsidP="00000000" w:rsidRDefault="00000000" w:rsidRPr="00000000" w14:paraId="00000014">
            <w:pPr>
              <w:spacing w:after="120" w:before="0" w:line="276" w:lineRule="auto"/>
              <w:jc w:val="center"/>
              <w:rPr/>
            </w:pPr>
            <w:r w:rsidDel="00000000" w:rsidR="00000000" w:rsidRPr="00000000">
              <w:rPr>
                <w:rFonts w:ascii="Calibri" w:cs="Calibri" w:eastAsia="Calibri" w:hAnsi="Calibri"/>
                <w:b w:val="0"/>
                <w:bCs w:val="0"/>
                <w:i w:val="0"/>
                <w:iCs w:val="0"/>
                <w:color w:val="282828"/>
                <w:sz w:val="18"/>
                <w:szCs w:val="18"/>
                <w:rtl w:val="0"/>
              </w:rPr>
              <w:t xml:space="preserve">2.0</w:t>
            </w:r>
            <w:r w:rsidDel="00000000" w:rsidR="00000000" w:rsidRPr="00000000">
              <w:rPr>
                <w:rtl w:val="0"/>
              </w:rPr>
            </w:r>
          </w:p>
        </w:tc>
        <w:tc>
          <w:tcPr/>
          <w:p w:rsidR="00000000" w:rsidDel="00000000" w:rsidP="00000000" w:rsidRDefault="00000000" w:rsidRPr="00000000" w14:paraId="00000015">
            <w:pPr>
              <w:spacing w:after="120" w:before="0" w:line="276" w:lineRule="auto"/>
              <w:jc w:val="center"/>
              <w:rPr/>
            </w:pPr>
            <w:r w:rsidDel="00000000" w:rsidR="00000000" w:rsidRPr="00000000">
              <w:rPr>
                <w:rFonts w:ascii="Calibri" w:cs="Calibri" w:eastAsia="Calibri" w:hAnsi="Calibri"/>
                <w:b w:val="0"/>
                <w:bCs w:val="0"/>
                <w:i w:val="0"/>
                <w:iCs w:val="0"/>
                <w:color w:val="282828"/>
                <w:sz w:val="18"/>
                <w:szCs w:val="18"/>
                <w:rtl w:val="0"/>
              </w:rPr>
              <w:t xml:space="preserve">10-10-2026</w:t>
            </w:r>
            <w:r w:rsidDel="00000000" w:rsidR="00000000" w:rsidRPr="00000000">
              <w:rPr>
                <w:rtl w:val="0"/>
              </w:rPr>
            </w:r>
          </w:p>
        </w:tc>
        <w:tc>
          <w:tcPr/>
          <w:p w:rsidR="00000000" w:rsidDel="00000000" w:rsidP="00000000" w:rsidRDefault="00000000" w:rsidRPr="00000000" w14:paraId="00000016">
            <w:pPr>
              <w:spacing w:after="120" w:before="0" w:line="276" w:lineRule="auto"/>
              <w:jc w:val="center"/>
              <w:rPr/>
            </w:pPr>
            <w:r w:rsidDel="00000000" w:rsidR="00000000" w:rsidRPr="00000000">
              <w:rPr>
                <w:rFonts w:ascii="Calibri" w:cs="Calibri" w:eastAsia="Calibri" w:hAnsi="Calibri"/>
                <w:b w:val="0"/>
                <w:bCs w:val="0"/>
                <w:i w:val="0"/>
                <w:iCs w:val="0"/>
                <w:color w:val="282828"/>
                <w:sz w:val="18"/>
                <w:szCs w:val="18"/>
                <w:rtl w:val="0"/>
              </w:rPr>
              <w:t xml:space="preserve">Felipe Romero / Yulian Silva</w:t>
            </w:r>
            <w:r w:rsidDel="00000000" w:rsidR="00000000" w:rsidRPr="00000000">
              <w:rPr>
                <w:rtl w:val="0"/>
              </w:rPr>
            </w:r>
          </w:p>
        </w:tc>
        <w:tc>
          <w:tcPr/>
          <w:p w:rsidR="00000000" w:rsidDel="00000000" w:rsidP="00000000" w:rsidRDefault="00000000" w:rsidRPr="00000000" w14:paraId="00000017">
            <w:pPr>
              <w:spacing w:after="120" w:before="0" w:line="276" w:lineRule="auto"/>
              <w:jc w:val="left"/>
              <w:rPr/>
            </w:pPr>
            <w:r w:rsidDel="00000000" w:rsidR="00000000" w:rsidRPr="00000000">
              <w:rPr>
                <w:rFonts w:ascii="Calibri" w:cs="Calibri" w:eastAsia="Calibri" w:hAnsi="Calibri"/>
                <w:b w:val="0"/>
                <w:bCs w:val="0"/>
                <w:i w:val="0"/>
                <w:iCs w:val="0"/>
                <w:color w:val="282828"/>
                <w:sz w:val="18"/>
                <w:szCs w:val="18"/>
                <w:rtl w:val="0"/>
              </w:rPr>
              <w:t xml:space="preserve">Consolidación de diagramas BPMN 2.0 definitivos y fichas descriptivas de procesos para Fase 2.</w:t>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120" w:before="280" w:line="276" w:lineRule="auto"/>
        <w:jc w:val="left"/>
        <w:rPr/>
      </w:pPr>
      <w:r w:rsidDel="00000000" w:rsidR="00000000" w:rsidRPr="00000000">
        <w:rPr>
          <w:rFonts w:ascii="Calibri" w:cs="Calibri" w:eastAsia="Calibri" w:hAnsi="Calibri"/>
          <w:b w:val="1"/>
          <w:bCs w:val="1"/>
          <w:i w:val="0"/>
          <w:iCs w:val="0"/>
          <w:color w:val="1f4e79"/>
          <w:sz w:val="30"/>
          <w:szCs w:val="30"/>
          <w:rtl w:val="0"/>
        </w:rPr>
        <w:t xml:space="preserve">1. Introducción y Contexto del Negocio</w:t>
      </w:r>
      <w:r w:rsidDel="00000000" w:rsidR="00000000" w:rsidRPr="00000000">
        <w:rPr>
          <w:rtl w:val="0"/>
        </w:rPr>
      </w:r>
    </w:p>
    <w:p w:rsidR="00000000" w:rsidDel="00000000" w:rsidP="00000000" w:rsidRDefault="00000000" w:rsidRPr="00000000" w14:paraId="0000001A">
      <w:pPr>
        <w:spacing w:after="120" w:before="0" w:line="276" w:lineRule="auto"/>
        <w:jc w:val="both"/>
        <w:rPr/>
      </w:pPr>
      <w:r w:rsidDel="00000000" w:rsidR="00000000" w:rsidRPr="00000000">
        <w:rPr>
          <w:rFonts w:ascii="Calibri" w:cs="Calibri" w:eastAsia="Calibri" w:hAnsi="Calibri"/>
          <w:b w:val="0"/>
          <w:bCs w:val="0"/>
          <w:i w:val="0"/>
          <w:iCs w:val="0"/>
          <w:color w:val="282828"/>
          <w:sz w:val="21"/>
          <w:szCs w:val="21"/>
          <w:rtl w:val="0"/>
        </w:rPr>
        <w:t xml:space="preserve">El presente documento expone el análisis, modelamiento y optimización de los procesos de negocio medulares que gobiernan la operación de la red de centros de entrenamiento físico NovaFit. En el modelo operacional tradicional, los gimnasios y academias deportivas enfrentan graves ineficiencias causadas por la gestión manual, el uso disperso de planillas electrónicas, la falta de conciliación bancaria en tiempo real y la ausencia de herramientas analíticas predictivas para la prescripción del ejercicio y el cuidado osteomuscular del atleta.</w:t>
      </w:r>
      <w:r w:rsidDel="00000000" w:rsidR="00000000" w:rsidRPr="00000000">
        <w:rPr>
          <w:rtl w:val="0"/>
        </w:rPr>
      </w:r>
    </w:p>
    <w:p w:rsidR="00000000" w:rsidDel="00000000" w:rsidP="00000000" w:rsidRDefault="00000000" w:rsidRPr="00000000" w14:paraId="0000001B">
      <w:pPr>
        <w:spacing w:after="120" w:before="0" w:line="276" w:lineRule="auto"/>
        <w:jc w:val="both"/>
        <w:rPr/>
      </w:pPr>
      <w:r w:rsidDel="00000000" w:rsidR="00000000" w:rsidRPr="00000000">
        <w:rPr>
          <w:rFonts w:ascii="Calibri" w:cs="Calibri" w:eastAsia="Calibri" w:hAnsi="Calibri"/>
          <w:b w:val="0"/>
          <w:bCs w:val="0"/>
          <w:i w:val="0"/>
          <w:iCs w:val="0"/>
          <w:color w:val="282828"/>
          <w:sz w:val="21"/>
          <w:szCs w:val="21"/>
          <w:rtl w:val="0"/>
        </w:rPr>
        <w:t xml:space="preserve">Para superar estas brechas, se utilizó el estándar internacional BPMN 2.0 (Business Process Model and Notation), modelando en una primera instancia el estado actual de los procesos ('AS-IS') con el propósito de identificar cuellos de botella, riesgos operacionales y puntos de fuga de ingresos. Posteriormente, se diseñó el estado futuro optimizado ('TO-BE'), el cual describe con precisión la automatización, centralización y soporte analítico provisto por la plataforma SaaS NovaFit Analytics Suite a través de su arquitectura desacoplada (Panel Web, App Móvil y Backend FastAPI).</w:t>
      </w:r>
      <w:r w:rsidDel="00000000" w:rsidR="00000000" w:rsidRPr="00000000">
        <w:rPr>
          <w:rtl w:val="0"/>
        </w:rPr>
      </w:r>
    </w:p>
    <w:p w:rsidR="00000000" w:rsidDel="00000000" w:rsidP="00000000" w:rsidRDefault="00000000" w:rsidRPr="00000000" w14:paraId="0000001C">
      <w:pPr>
        <w:spacing w:after="80" w:before="160" w:line="276" w:lineRule="auto"/>
        <w:jc w:val="left"/>
        <w:rPr/>
      </w:pPr>
      <w:r w:rsidDel="00000000" w:rsidR="00000000" w:rsidRPr="00000000">
        <w:rPr>
          <w:rFonts w:ascii="Calibri" w:cs="Calibri" w:eastAsia="Calibri" w:hAnsi="Calibri"/>
          <w:b w:val="1"/>
          <w:bCs w:val="1"/>
          <w:i w:val="0"/>
          <w:iCs w:val="0"/>
          <w:color w:val="2e75b6"/>
          <w:sz w:val="24"/>
          <w:szCs w:val="24"/>
          <w:rtl w:val="0"/>
        </w:rPr>
        <w:t xml:space="preserve">1.1 Objetivos del Modelamiento</w:t>
      </w:r>
      <w:r w:rsidDel="00000000" w:rsidR="00000000" w:rsidRPr="00000000">
        <w:rPr>
          <w:rtl w:val="0"/>
        </w:rPr>
      </w:r>
    </w:p>
    <w:p w:rsidR="00000000" w:rsidDel="00000000" w:rsidP="00000000" w:rsidRDefault="00000000" w:rsidRPr="00000000" w14:paraId="0000001D">
      <w:pPr>
        <w:spacing w:after="60" w:before="0" w:line="276" w:lineRule="auto"/>
        <w:jc w:val="both"/>
        <w:rPr/>
      </w:pPr>
      <w:r w:rsidDel="00000000" w:rsidR="00000000" w:rsidRPr="00000000">
        <w:rPr>
          <w:rFonts w:ascii="Calibri" w:cs="Calibri" w:eastAsia="Calibri" w:hAnsi="Calibri"/>
          <w:b w:val="0"/>
          <w:bCs w:val="0"/>
          <w:i w:val="0"/>
          <w:iCs w:val="0"/>
          <w:color w:val="323232"/>
          <w:sz w:val="20"/>
          <w:szCs w:val="20"/>
          <w:rtl w:val="0"/>
        </w:rPr>
        <w:t xml:space="preserve">• Identificar y cuantificar los tiempos muertos, errores humanos y riesgos de fuga de capital en los procesos de facturación manual.</w:t>
      </w:r>
      <w:r w:rsidDel="00000000" w:rsidR="00000000" w:rsidRPr="00000000">
        <w:rPr>
          <w:rtl w:val="0"/>
        </w:rPr>
      </w:r>
    </w:p>
    <w:p w:rsidR="00000000" w:rsidDel="00000000" w:rsidP="00000000" w:rsidRDefault="00000000" w:rsidRPr="00000000" w14:paraId="0000001E">
      <w:pPr>
        <w:spacing w:after="60" w:before="0" w:line="276" w:lineRule="auto"/>
        <w:jc w:val="both"/>
        <w:rPr/>
      </w:pPr>
      <w:r w:rsidDel="00000000" w:rsidR="00000000" w:rsidRPr="00000000">
        <w:rPr>
          <w:rFonts w:ascii="Calibri" w:cs="Calibri" w:eastAsia="Calibri" w:hAnsi="Calibri"/>
          <w:b w:val="0"/>
          <w:bCs w:val="0"/>
          <w:i w:val="0"/>
          <w:iCs w:val="0"/>
          <w:color w:val="323232"/>
          <w:sz w:val="20"/>
          <w:szCs w:val="20"/>
          <w:rtl w:val="0"/>
        </w:rPr>
        <w:t xml:space="preserve">• Modelar el flujo optimizado de pagos desatendidos mediante la pasarela Mercado Pago Checkout Pro y Webhooks IPN.</w:t>
      </w:r>
      <w:r w:rsidDel="00000000" w:rsidR="00000000" w:rsidRPr="00000000">
        <w:rPr>
          <w:rtl w:val="0"/>
        </w:rPr>
      </w:r>
    </w:p>
    <w:p w:rsidR="00000000" w:rsidDel="00000000" w:rsidP="00000000" w:rsidRDefault="00000000" w:rsidRPr="00000000" w14:paraId="0000001F">
      <w:pPr>
        <w:spacing w:after="60" w:before="0" w:line="276" w:lineRule="auto"/>
        <w:jc w:val="both"/>
        <w:rPr/>
      </w:pPr>
      <w:r w:rsidDel="00000000" w:rsidR="00000000" w:rsidRPr="00000000">
        <w:rPr>
          <w:rFonts w:ascii="Calibri" w:cs="Calibri" w:eastAsia="Calibri" w:hAnsi="Calibri"/>
          <w:b w:val="0"/>
          <w:bCs w:val="0"/>
          <w:i w:val="0"/>
          <w:iCs w:val="0"/>
          <w:color w:val="323232"/>
          <w:sz w:val="20"/>
          <w:szCs w:val="20"/>
          <w:rtl w:val="0"/>
        </w:rPr>
        <w:t xml:space="preserve">• Estandarizar la prescripción y entrega de programas de entrenamiento deportivo, eliminando el soporte en papel o cuadernos.</w:t>
      </w:r>
      <w:r w:rsidDel="00000000" w:rsidR="00000000" w:rsidRPr="00000000">
        <w:rPr>
          <w:rtl w:val="0"/>
        </w:rPr>
      </w:r>
    </w:p>
    <w:p w:rsidR="00000000" w:rsidDel="00000000" w:rsidP="00000000" w:rsidRDefault="00000000" w:rsidRPr="00000000" w14:paraId="00000020">
      <w:pPr>
        <w:spacing w:after="60" w:before="0" w:line="276" w:lineRule="auto"/>
        <w:jc w:val="both"/>
        <w:rPr/>
      </w:pPr>
      <w:r w:rsidDel="00000000" w:rsidR="00000000" w:rsidRPr="00000000">
        <w:rPr>
          <w:rFonts w:ascii="Calibri" w:cs="Calibri" w:eastAsia="Calibri" w:hAnsi="Calibri"/>
          <w:b w:val="0"/>
          <w:bCs w:val="0"/>
          <w:i w:val="0"/>
          <w:iCs w:val="0"/>
          <w:color w:val="323232"/>
          <w:sz w:val="20"/>
          <w:szCs w:val="20"/>
          <w:rtl w:val="0"/>
        </w:rPr>
        <w:t xml:space="preserve">• Formalizar el circuito de captura de carga subjetiva (RPE) y cálculo del índice científico ACWR para la prevención proactiva de lesiones musculares.</w:t>
      </w:r>
      <w:r w:rsidDel="00000000" w:rsidR="00000000" w:rsidRPr="00000000">
        <w:rPr>
          <w:rtl w:val="0"/>
        </w:rPr>
      </w:r>
    </w:p>
    <w:p w:rsidR="00000000" w:rsidDel="00000000" w:rsidP="00000000" w:rsidRDefault="00000000" w:rsidRPr="00000000" w14:paraId="00000021">
      <w:pPr>
        <w:spacing w:after="60" w:before="0" w:line="276" w:lineRule="auto"/>
        <w:jc w:val="both"/>
        <w:rPr/>
      </w:pPr>
      <w:r w:rsidDel="00000000" w:rsidR="00000000" w:rsidRPr="00000000">
        <w:rPr>
          <w:rFonts w:ascii="Calibri" w:cs="Calibri" w:eastAsia="Calibri" w:hAnsi="Calibri"/>
          <w:b w:val="0"/>
          <w:bCs w:val="0"/>
          <w:i w:val="0"/>
          <w:iCs w:val="0"/>
          <w:color w:val="323232"/>
          <w:sz w:val="20"/>
          <w:szCs w:val="20"/>
          <w:rtl w:val="0"/>
        </w:rPr>
        <w:t xml:space="preserve">• Servir de contrato funcional y de negocio para la verificación y auditoría del software en la Fase 2 del proyecto.</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120" w:before="280" w:line="276" w:lineRule="auto"/>
        <w:jc w:val="left"/>
        <w:rPr/>
      </w:pPr>
      <w:r w:rsidDel="00000000" w:rsidR="00000000" w:rsidRPr="00000000">
        <w:rPr>
          <w:rFonts w:ascii="Calibri" w:cs="Calibri" w:eastAsia="Calibri" w:hAnsi="Calibri"/>
          <w:b w:val="1"/>
          <w:bCs w:val="1"/>
          <w:i w:val="0"/>
          <w:iCs w:val="0"/>
          <w:color w:val="1f4e79"/>
          <w:sz w:val="30"/>
          <w:szCs w:val="30"/>
          <w:rtl w:val="0"/>
        </w:rPr>
        <w:t xml:space="preserve">2. Modelos de Procesos de Negocio AS-IS (Estado Actual / Tradicional)</w:t>
      </w:r>
      <w:r w:rsidDel="00000000" w:rsidR="00000000" w:rsidRPr="00000000">
        <w:rPr>
          <w:rtl w:val="0"/>
        </w:rPr>
      </w:r>
    </w:p>
    <w:p w:rsidR="00000000" w:rsidDel="00000000" w:rsidP="00000000" w:rsidRDefault="00000000" w:rsidRPr="00000000" w14:paraId="00000024">
      <w:pPr>
        <w:spacing w:after="120" w:before="0" w:line="276" w:lineRule="auto"/>
        <w:jc w:val="both"/>
        <w:rPr/>
      </w:pPr>
      <w:r w:rsidDel="00000000" w:rsidR="00000000" w:rsidRPr="00000000">
        <w:rPr>
          <w:rFonts w:ascii="Calibri" w:cs="Calibri" w:eastAsia="Calibri" w:hAnsi="Calibri"/>
          <w:b w:val="0"/>
          <w:bCs w:val="0"/>
          <w:i w:val="0"/>
          <w:iCs w:val="0"/>
          <w:color w:val="282828"/>
          <w:sz w:val="21"/>
          <w:szCs w:val="21"/>
          <w:rtl w:val="0"/>
        </w:rPr>
        <w:t xml:space="preserve">Los procesos AS-IS representan la operatoria cotidiana de un centro de entrenamiento convencional sin digitalización integral. Se identificaron tres macro-procesos críticos donde se concentran los mayores problemas de productividad y calidad de servicio:</w:t>
      </w:r>
      <w:r w:rsidDel="00000000" w:rsidR="00000000" w:rsidRPr="00000000">
        <w:rPr>
          <w:rtl w:val="0"/>
        </w:rPr>
      </w:r>
    </w:p>
    <w:p w:rsidR="00000000" w:rsidDel="00000000" w:rsidP="00000000" w:rsidRDefault="00000000" w:rsidRPr="00000000" w14:paraId="00000025">
      <w:pPr>
        <w:spacing w:after="80" w:before="200" w:line="276" w:lineRule="auto"/>
        <w:jc w:val="left"/>
        <w:rPr/>
      </w:pPr>
      <w:r w:rsidDel="00000000" w:rsidR="00000000" w:rsidRPr="00000000">
        <w:rPr>
          <w:rFonts w:ascii="Calibri" w:cs="Calibri" w:eastAsia="Calibri" w:hAnsi="Calibri"/>
          <w:b w:val="1"/>
          <w:bCs w:val="1"/>
          <w:i w:val="0"/>
          <w:iCs w:val="0"/>
          <w:color w:val="2e75b6"/>
          <w:sz w:val="25"/>
          <w:szCs w:val="25"/>
          <w:rtl w:val="0"/>
        </w:rPr>
        <w:t xml:space="preserve">2.1 Proceso AS-IS N° 1: Afiliación, Cobro y Control Manual de Membresías</w:t>
      </w:r>
      <w:r w:rsidDel="00000000" w:rsidR="00000000" w:rsidRPr="00000000">
        <w:rPr>
          <w:rtl w:val="0"/>
        </w:rPr>
      </w:r>
    </w:p>
    <w:p w:rsidR="00000000" w:rsidDel="00000000" w:rsidP="00000000" w:rsidRDefault="00000000" w:rsidRPr="00000000" w14:paraId="00000026">
      <w:pPr>
        <w:spacing w:after="120" w:before="0" w:line="276" w:lineRule="auto"/>
        <w:jc w:val="both"/>
        <w:rPr/>
      </w:pPr>
      <w:r w:rsidDel="00000000" w:rsidR="00000000" w:rsidRPr="00000000">
        <w:rPr>
          <w:rFonts w:ascii="Calibri" w:cs="Calibri" w:eastAsia="Calibri" w:hAnsi="Calibri"/>
          <w:b w:val="0"/>
          <w:bCs w:val="0"/>
          <w:i w:val="0"/>
          <w:iCs w:val="0"/>
          <w:color w:val="323232"/>
          <w:sz w:val="20"/>
          <w:szCs w:val="20"/>
          <w:rtl w:val="0"/>
        </w:rPr>
        <w:t xml:space="preserve">En el modelo tradicional, el deportista asiste a recepción para contratar un plan. La recepcionista registra los datos personales en un cuaderno o planilla Excel local. El pago se realiza en efectivo o por transferencia bancaria hacia una cuenta personal del administrador. La verificación de la transferencia requiere que el socio envíe el comprobante por WhatsApp o correo, obligando al recepcionista a ingresar a la banca en línea de forma manual para constatar el abono. No existe sincronización en tiempo real: los vencimientos se controlan visualmente en carpetas físicas, lo que genera una alta tasa de morosidad pasiva (socios entrenando con planes vencidos) y un riesgo latente de fraude o extravío de dinero en efectivo.</w:t>
      </w:r>
      <w:r w:rsidDel="00000000" w:rsidR="00000000" w:rsidRPr="00000000">
        <w:rPr>
          <w:rtl w:val="0"/>
        </w:rPr>
      </w:r>
    </w:p>
    <w:p w:rsidR="00000000" w:rsidDel="00000000" w:rsidP="00000000" w:rsidRDefault="00000000" w:rsidRPr="00000000" w14:paraId="00000027">
      <w:pPr>
        <w:spacing w:after="120" w:before="120" w:line="276" w:lineRule="auto"/>
        <w:jc w:val="center"/>
        <w:rPr/>
      </w:pPr>
      <w:r w:rsidDel="00000000" w:rsidR="00000000" w:rsidRPr="00000000">
        <w:rPr>
          <w:rFonts w:ascii="Calibri" w:cs="Calibri" w:eastAsia="Calibri" w:hAnsi="Calibri"/>
          <w:b w:val="1"/>
          <w:bCs w:val="1"/>
          <w:i w:val="1"/>
          <w:iCs w:val="1"/>
          <w:color w:val="1f4e79"/>
          <w:sz w:val="20"/>
          <w:szCs w:val="20"/>
          <w:rtl w:val="0"/>
        </w:rPr>
        <w:t xml:space="preserve">Diagrama BPMN 2.0 — Proceso AS-IS 1: Afiliación y Cobro Manual</w:t>
      </w:r>
      <w:r w:rsidDel="00000000" w:rsidR="00000000" w:rsidRPr="00000000">
        <w:rPr>
          <w:rtl w:val="0"/>
        </w:rPr>
      </w:r>
    </w:p>
    <w:p w:rsidR="00000000" w:rsidDel="00000000" w:rsidP="00000000" w:rsidRDefault="00000000" w:rsidRPr="00000000" w14:paraId="00000028">
      <w:pPr>
        <w:jc w:val="center"/>
        <w:rPr/>
      </w:pPr>
      <w:r w:rsidDel="00000000" w:rsidR="00000000" w:rsidRPr="00000000">
        <w:rPr/>
        <w:drawing>
          <wp:inline distB="0" distT="0" distL="114300" distR="114300">
            <wp:extent cx="5669280" cy="3078805"/>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669280" cy="307880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80" w:before="200" w:line="276" w:lineRule="auto"/>
        <w:jc w:val="left"/>
        <w:rPr/>
      </w:pPr>
      <w:r w:rsidDel="00000000" w:rsidR="00000000" w:rsidRPr="00000000">
        <w:rPr>
          <w:rFonts w:ascii="Calibri" w:cs="Calibri" w:eastAsia="Calibri" w:hAnsi="Calibri"/>
          <w:b w:val="1"/>
          <w:bCs w:val="1"/>
          <w:i w:val="0"/>
          <w:iCs w:val="0"/>
          <w:color w:val="2e75b6"/>
          <w:sz w:val="25"/>
          <w:szCs w:val="25"/>
          <w:rtl w:val="0"/>
        </w:rPr>
        <w:t xml:space="preserve">2.2 Proceso AS-IS N° 2: Diseño, Asignación y Entrega de Rutinas en Papel/Fichas</w:t>
      </w:r>
      <w:r w:rsidDel="00000000" w:rsidR="00000000" w:rsidRPr="00000000">
        <w:rPr>
          <w:rtl w:val="0"/>
        </w:rPr>
      </w:r>
    </w:p>
    <w:p w:rsidR="00000000" w:rsidDel="00000000" w:rsidP="00000000" w:rsidRDefault="00000000" w:rsidRPr="00000000" w14:paraId="0000002B">
      <w:pPr>
        <w:spacing w:after="120" w:before="0" w:line="276" w:lineRule="auto"/>
        <w:jc w:val="both"/>
        <w:rPr/>
      </w:pPr>
      <w:r w:rsidDel="00000000" w:rsidR="00000000" w:rsidRPr="00000000">
        <w:rPr>
          <w:rFonts w:ascii="Calibri" w:cs="Calibri" w:eastAsia="Calibri" w:hAnsi="Calibri"/>
          <w:b w:val="0"/>
          <w:bCs w:val="0"/>
          <w:i w:val="0"/>
          <w:iCs w:val="0"/>
          <w:color w:val="323232"/>
          <w:sz w:val="20"/>
          <w:szCs w:val="20"/>
          <w:rtl w:val="0"/>
        </w:rPr>
        <w:t xml:space="preserve">El entrenador realiza una entrevista informal y prescribe una rutina anotándola a mano en una ficha de cartulina que se almacena en un fichero en la sala de pesas. El atleta debe buscar físicamente su ficha cada día de entrenamiento. Cuando el atleta tiene dudas sobre la técnica de ejecución de un ejercicio, debe esperar la disponibilidad del entrenador (quien atiende a múltiples socios simultáneamente) o improvisar la ejecución, incrementando drásticamente el riesgo de lesiones osteoarticulares. Las fichas sufren deterioro físico, extravíos constantes y no permiten almacenar un historial estructurado de cargas a lo largo de los meses.</w:t>
      </w:r>
      <w:r w:rsidDel="00000000" w:rsidR="00000000" w:rsidRPr="00000000">
        <w:rPr>
          <w:rtl w:val="0"/>
        </w:rPr>
      </w:r>
    </w:p>
    <w:p w:rsidR="00000000" w:rsidDel="00000000" w:rsidP="00000000" w:rsidRDefault="00000000" w:rsidRPr="00000000" w14:paraId="0000002C">
      <w:pPr>
        <w:spacing w:after="120" w:before="120" w:line="276" w:lineRule="auto"/>
        <w:jc w:val="center"/>
        <w:rPr/>
      </w:pPr>
      <w:r w:rsidDel="00000000" w:rsidR="00000000" w:rsidRPr="00000000">
        <w:rPr>
          <w:rFonts w:ascii="Calibri" w:cs="Calibri" w:eastAsia="Calibri" w:hAnsi="Calibri"/>
          <w:b w:val="1"/>
          <w:bCs w:val="1"/>
          <w:i w:val="1"/>
          <w:iCs w:val="1"/>
          <w:color w:val="1f4e79"/>
          <w:sz w:val="20"/>
          <w:szCs w:val="20"/>
          <w:rtl w:val="0"/>
        </w:rPr>
        <w:t xml:space="preserve">Diagrama BPMN 2.0 — Proceso AS-IS 2: Diseño y Entrega Tradicional de Rutinas</w:t>
      </w:r>
      <w:r w:rsidDel="00000000" w:rsidR="00000000" w:rsidRPr="00000000">
        <w:rPr>
          <w:rtl w:val="0"/>
        </w:rPr>
      </w:r>
    </w:p>
    <w:p w:rsidR="00000000" w:rsidDel="00000000" w:rsidP="00000000" w:rsidRDefault="00000000" w:rsidRPr="00000000" w14:paraId="0000002D">
      <w:pPr>
        <w:jc w:val="center"/>
        <w:rPr/>
      </w:pPr>
      <w:r w:rsidDel="00000000" w:rsidR="00000000" w:rsidRPr="00000000">
        <w:rPr/>
        <w:drawing>
          <wp:inline distB="0" distT="0" distL="114300" distR="114300">
            <wp:extent cx="5669280" cy="3373913"/>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69280" cy="337391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80" w:before="200" w:line="276" w:lineRule="auto"/>
        <w:jc w:val="left"/>
        <w:rPr/>
      </w:pPr>
      <w:r w:rsidDel="00000000" w:rsidR="00000000" w:rsidRPr="00000000">
        <w:rPr>
          <w:rFonts w:ascii="Calibri" w:cs="Calibri" w:eastAsia="Calibri" w:hAnsi="Calibri"/>
          <w:b w:val="1"/>
          <w:bCs w:val="1"/>
          <w:i w:val="0"/>
          <w:iCs w:val="0"/>
          <w:color w:val="2e75b6"/>
          <w:sz w:val="25"/>
          <w:szCs w:val="25"/>
          <w:rtl w:val="0"/>
        </w:rPr>
        <w:t xml:space="preserve">2.3 Proceso AS-IS N° 3: Ejecución del Entrenamiento y Ausencia de Métricas de Fatiga</w:t>
      </w:r>
      <w:r w:rsidDel="00000000" w:rsidR="00000000" w:rsidRPr="00000000">
        <w:rPr>
          <w:rtl w:val="0"/>
        </w:rPr>
      </w:r>
    </w:p>
    <w:p w:rsidR="00000000" w:rsidDel="00000000" w:rsidP="00000000" w:rsidRDefault="00000000" w:rsidRPr="00000000" w14:paraId="00000030">
      <w:pPr>
        <w:spacing w:after="120" w:before="0" w:line="276" w:lineRule="auto"/>
        <w:jc w:val="both"/>
        <w:rPr/>
      </w:pPr>
      <w:r w:rsidDel="00000000" w:rsidR="00000000" w:rsidRPr="00000000">
        <w:rPr>
          <w:rFonts w:ascii="Calibri" w:cs="Calibri" w:eastAsia="Calibri" w:hAnsi="Calibri"/>
          <w:b w:val="0"/>
          <w:bCs w:val="0"/>
          <w:i w:val="0"/>
          <w:iCs w:val="0"/>
          <w:color w:val="323232"/>
          <w:sz w:val="20"/>
          <w:szCs w:val="20"/>
          <w:rtl w:val="0"/>
        </w:rPr>
        <w:t xml:space="preserve">Durante la sesión física, no existe ningún mecanismo para registrar las series, repeticiones y cargas reales levantadas, ni la percepción subjetiva del esfuerzo (RPE). El entrenador supervisa de manera visual y subjetiva. Si el atleta experimenta sobrecarga o fatiga neuromuscular acumulada, el personal técnico solo se percata cuando sobreviene la contractura, desgarro o lesión incapacitante, lo que provoca la deserción inmediata del socio y el detrimento de la reputación del centro deportivo.</w:t>
      </w:r>
      <w:r w:rsidDel="00000000" w:rsidR="00000000" w:rsidRPr="00000000">
        <w:rPr>
          <w:rtl w:val="0"/>
        </w:rPr>
      </w:r>
    </w:p>
    <w:p w:rsidR="00000000" w:rsidDel="00000000" w:rsidP="00000000" w:rsidRDefault="00000000" w:rsidRPr="00000000" w14:paraId="00000031">
      <w:pPr>
        <w:spacing w:after="120" w:before="120" w:line="276" w:lineRule="auto"/>
        <w:jc w:val="center"/>
        <w:rPr/>
      </w:pPr>
      <w:r w:rsidDel="00000000" w:rsidR="00000000" w:rsidRPr="00000000">
        <w:rPr>
          <w:rFonts w:ascii="Calibri" w:cs="Calibri" w:eastAsia="Calibri" w:hAnsi="Calibri"/>
          <w:b w:val="1"/>
          <w:bCs w:val="1"/>
          <w:i w:val="1"/>
          <w:iCs w:val="1"/>
          <w:color w:val="1f4e79"/>
          <w:sz w:val="20"/>
          <w:szCs w:val="20"/>
          <w:rtl w:val="0"/>
        </w:rPr>
        <w:t xml:space="preserve">Diagrama BPMN 2.0 — Proceso AS-IS 3: Ejecución de Ejercicios sin Control de Cargas</w:t>
      </w:r>
      <w:r w:rsidDel="00000000" w:rsidR="00000000" w:rsidRPr="00000000">
        <w:rPr>
          <w:rtl w:val="0"/>
        </w:rPr>
      </w:r>
    </w:p>
    <w:p w:rsidR="00000000" w:rsidDel="00000000" w:rsidP="00000000" w:rsidRDefault="00000000" w:rsidRPr="00000000" w14:paraId="00000032">
      <w:pPr>
        <w:jc w:val="center"/>
        <w:rPr/>
      </w:pPr>
      <w:r w:rsidDel="00000000" w:rsidR="00000000" w:rsidRPr="00000000">
        <w:rPr/>
        <w:drawing>
          <wp:inline distB="0" distT="0" distL="114300" distR="114300">
            <wp:extent cx="5669280" cy="3169077"/>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669280" cy="3169077"/>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spacing w:after="120" w:before="280" w:line="276" w:lineRule="auto"/>
        <w:jc w:val="left"/>
        <w:rPr/>
      </w:pPr>
      <w:r w:rsidDel="00000000" w:rsidR="00000000" w:rsidRPr="00000000">
        <w:rPr>
          <w:rFonts w:ascii="Calibri" w:cs="Calibri" w:eastAsia="Calibri" w:hAnsi="Calibri"/>
          <w:b w:val="1"/>
          <w:bCs w:val="1"/>
          <w:i w:val="0"/>
          <w:iCs w:val="0"/>
          <w:color w:val="1f4e79"/>
          <w:sz w:val="30"/>
          <w:szCs w:val="30"/>
          <w:rtl w:val="0"/>
        </w:rPr>
        <w:t xml:space="preserve">3. Modelos de Procesos de Negocio TO-BE (Optimización con NovaFit Analytics Suite)</w:t>
      </w:r>
      <w:r w:rsidDel="00000000" w:rsidR="00000000" w:rsidRPr="00000000">
        <w:rPr>
          <w:rtl w:val="0"/>
        </w:rPr>
      </w:r>
    </w:p>
    <w:p w:rsidR="00000000" w:rsidDel="00000000" w:rsidP="00000000" w:rsidRDefault="00000000" w:rsidRPr="00000000" w14:paraId="00000035">
      <w:pPr>
        <w:spacing w:after="120" w:before="0" w:line="276" w:lineRule="auto"/>
        <w:jc w:val="both"/>
        <w:rPr/>
      </w:pPr>
      <w:r w:rsidDel="00000000" w:rsidR="00000000" w:rsidRPr="00000000">
        <w:rPr>
          <w:rFonts w:ascii="Calibri" w:cs="Calibri" w:eastAsia="Calibri" w:hAnsi="Calibri"/>
          <w:b w:val="0"/>
          <w:bCs w:val="0"/>
          <w:i w:val="0"/>
          <w:iCs w:val="0"/>
          <w:color w:val="282828"/>
          <w:sz w:val="21"/>
          <w:szCs w:val="21"/>
          <w:rtl w:val="0"/>
        </w:rPr>
        <w:t xml:space="preserve">Los procesos TO-BE representan la arquitectura operacional moderna habilitada por NovaFit Analytics Suite. La automatización de tareas rutinarias, la integración de pasarelas de pago digitales y la aplicación de modelos de analítica de datos deportiva revolucionan la experiencia del usuario y optimizan la rentabilidad del negocio.</w:t>
      </w:r>
      <w:r w:rsidDel="00000000" w:rsidR="00000000" w:rsidRPr="00000000">
        <w:rPr>
          <w:rtl w:val="0"/>
        </w:rPr>
      </w:r>
    </w:p>
    <w:p w:rsidR="00000000" w:rsidDel="00000000" w:rsidP="00000000" w:rsidRDefault="00000000" w:rsidRPr="00000000" w14:paraId="00000036">
      <w:pPr>
        <w:spacing w:after="80" w:before="200" w:line="276" w:lineRule="auto"/>
        <w:jc w:val="left"/>
        <w:rPr/>
      </w:pPr>
      <w:r w:rsidDel="00000000" w:rsidR="00000000" w:rsidRPr="00000000">
        <w:rPr>
          <w:rFonts w:ascii="Calibri" w:cs="Calibri" w:eastAsia="Calibri" w:hAnsi="Calibri"/>
          <w:b w:val="1"/>
          <w:bCs w:val="1"/>
          <w:i w:val="0"/>
          <w:iCs w:val="0"/>
          <w:color w:val="2e75b6"/>
          <w:sz w:val="25"/>
          <w:szCs w:val="25"/>
          <w:rtl w:val="0"/>
        </w:rPr>
        <w:t xml:space="preserve">3.1 Proceso TO-BE N° 1: Afiliación, Pago Digital y Cobranza Automatizada (Mercado Pago)</w:t>
      </w:r>
      <w:r w:rsidDel="00000000" w:rsidR="00000000" w:rsidRPr="00000000">
        <w:rPr>
          <w:rtl w:val="0"/>
        </w:rPr>
      </w:r>
    </w:p>
    <w:p w:rsidR="00000000" w:rsidDel="00000000" w:rsidP="00000000" w:rsidRDefault="00000000" w:rsidRPr="00000000" w14:paraId="00000037">
      <w:pPr>
        <w:spacing w:after="120" w:before="0" w:line="276" w:lineRule="auto"/>
        <w:jc w:val="both"/>
        <w:rPr/>
      </w:pPr>
      <w:r w:rsidDel="00000000" w:rsidR="00000000" w:rsidRPr="00000000">
        <w:rPr>
          <w:rFonts w:ascii="Calibri" w:cs="Calibri" w:eastAsia="Calibri" w:hAnsi="Calibri"/>
          <w:b w:val="0"/>
          <w:bCs w:val="0"/>
          <w:i w:val="0"/>
          <w:iCs w:val="0"/>
          <w:color w:val="323232"/>
          <w:sz w:val="20"/>
          <w:szCs w:val="20"/>
          <w:rtl w:val="0"/>
        </w:rPr>
        <w:t xml:space="preserve">El administrador o cajero registra o selecciona al cliente en el Panel Web NovaFit. El sistema genera una orden de cobro vinculada a la pasarela Mercado Pago mediante la creación dinámica de una Preference ID. El administrador puede ejecutar la acción 'Enviar cobro al correo', disparando un correo formal y elegante a través de Zoho Mail REST API con el botón de pago seguro. El atleta ingresa a la pasarela (pudiendo pagar con tarjeta de crédito, débito o dinero en cuenta Mercado Pago). Una vez procesado el pago, el Webhook IPN de Mercado Pago notifica inmediatamente al endpoint seguro de NovaFit (`/api/v1/invoices/webhook`), actualizando de forma atómica el estado de la factura a 'PAID' y activando la vigencia de la membresía sin intervención humana. Se genera un registro inmutable de auditoría contable en la base de datos PostgreSQL.</w:t>
      </w:r>
      <w:r w:rsidDel="00000000" w:rsidR="00000000" w:rsidRPr="00000000">
        <w:rPr>
          <w:rtl w:val="0"/>
        </w:rPr>
      </w:r>
    </w:p>
    <w:p w:rsidR="00000000" w:rsidDel="00000000" w:rsidP="00000000" w:rsidRDefault="00000000" w:rsidRPr="00000000" w14:paraId="00000038">
      <w:pPr>
        <w:spacing w:after="120" w:before="120" w:line="276" w:lineRule="auto"/>
        <w:jc w:val="center"/>
        <w:rPr/>
      </w:pPr>
      <w:r w:rsidDel="00000000" w:rsidR="00000000" w:rsidRPr="00000000">
        <w:rPr>
          <w:rFonts w:ascii="Calibri" w:cs="Calibri" w:eastAsia="Calibri" w:hAnsi="Calibri"/>
          <w:b w:val="1"/>
          <w:bCs w:val="1"/>
          <w:i w:val="1"/>
          <w:iCs w:val="1"/>
          <w:color w:val="1f4e79"/>
          <w:sz w:val="20"/>
          <w:szCs w:val="20"/>
          <w:rtl w:val="0"/>
        </w:rPr>
        <w:t xml:space="preserve">Diagrama BPMN 2.0 — Proceso TO-BE 1: Afiliación y Cobranza Automatizada con Mercado Pago</w:t>
      </w:r>
      <w:r w:rsidDel="00000000" w:rsidR="00000000" w:rsidRPr="00000000">
        <w:rPr>
          <w:rtl w:val="0"/>
        </w:rPr>
      </w:r>
    </w:p>
    <w:p w:rsidR="00000000" w:rsidDel="00000000" w:rsidP="00000000" w:rsidRDefault="00000000" w:rsidRPr="00000000" w14:paraId="00000039">
      <w:pPr>
        <w:jc w:val="center"/>
        <w:rPr/>
      </w:pPr>
      <w:r w:rsidDel="00000000" w:rsidR="00000000" w:rsidRPr="00000000">
        <w:rPr/>
        <w:drawing>
          <wp:inline distB="0" distT="0" distL="114300" distR="114300">
            <wp:extent cx="5669280" cy="4705502"/>
            <wp:effectExtent b="0" l="0" r="0" t="0"/>
            <wp:docPr id="1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669280" cy="4705502"/>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80" w:before="200" w:line="276" w:lineRule="auto"/>
        <w:jc w:val="left"/>
        <w:rPr/>
      </w:pPr>
      <w:r w:rsidDel="00000000" w:rsidR="00000000" w:rsidRPr="00000000">
        <w:rPr>
          <w:rFonts w:ascii="Calibri" w:cs="Calibri" w:eastAsia="Calibri" w:hAnsi="Calibri"/>
          <w:b w:val="1"/>
          <w:bCs w:val="1"/>
          <w:i w:val="0"/>
          <w:iCs w:val="0"/>
          <w:color w:val="2e75b6"/>
          <w:sz w:val="25"/>
          <w:szCs w:val="25"/>
          <w:rtl w:val="0"/>
        </w:rPr>
        <w:t xml:space="preserve">3.2 Proceso TO-BE N° 2: Diseño, Asignación y Entrega de Rutinas en App Móvil</w:t>
      </w:r>
      <w:r w:rsidDel="00000000" w:rsidR="00000000" w:rsidRPr="00000000">
        <w:rPr>
          <w:rtl w:val="0"/>
        </w:rPr>
      </w:r>
    </w:p>
    <w:p w:rsidR="00000000" w:rsidDel="00000000" w:rsidP="00000000" w:rsidRDefault="00000000" w:rsidRPr="00000000" w14:paraId="0000003C">
      <w:pPr>
        <w:spacing w:after="120" w:before="0" w:line="276" w:lineRule="auto"/>
        <w:jc w:val="both"/>
        <w:rPr/>
      </w:pPr>
      <w:r w:rsidDel="00000000" w:rsidR="00000000" w:rsidRPr="00000000">
        <w:rPr>
          <w:rFonts w:ascii="Calibri" w:cs="Calibri" w:eastAsia="Calibri" w:hAnsi="Calibri"/>
          <w:b w:val="0"/>
          <w:bCs w:val="0"/>
          <w:i w:val="0"/>
          <w:iCs w:val="0"/>
          <w:color w:val="323232"/>
          <w:sz w:val="20"/>
          <w:szCs w:val="20"/>
          <w:rtl w:val="0"/>
        </w:rPr>
        <w:t xml:space="preserve">El entrenador ingresa al Panel Web administrativo, accede al catálogo global de más de 50 ejercicios con clasificación muscular y crea una planificación modular basada en mesociclos y microciclos semanales. Una vez asignada la rutina a un atleta, el backend FastAPI genera un evento y despacha una notificación push a través de Expo Notifications hacia el dispositivo móvil Android del usuario. El deportista abre la App Móvil NovaFit y visualiza su sesión diaria con las series, repeticiones objetivo, tiempo de descanso y animaciones GIF demostrativas de técnica correcta. La necesidad de supervisión manual continua se reduce, empoderando al atleta y permitiendo al entrenador atender a más alumnos con mayor calidad.</w:t>
      </w:r>
      <w:r w:rsidDel="00000000" w:rsidR="00000000" w:rsidRPr="00000000">
        <w:rPr>
          <w:rtl w:val="0"/>
        </w:rPr>
      </w:r>
    </w:p>
    <w:p w:rsidR="00000000" w:rsidDel="00000000" w:rsidP="00000000" w:rsidRDefault="00000000" w:rsidRPr="00000000" w14:paraId="0000003D">
      <w:pPr>
        <w:spacing w:after="120" w:before="120" w:line="276" w:lineRule="auto"/>
        <w:jc w:val="center"/>
        <w:rPr/>
      </w:pPr>
      <w:r w:rsidDel="00000000" w:rsidR="00000000" w:rsidRPr="00000000">
        <w:rPr>
          <w:rFonts w:ascii="Calibri" w:cs="Calibri" w:eastAsia="Calibri" w:hAnsi="Calibri"/>
          <w:b w:val="1"/>
          <w:bCs w:val="1"/>
          <w:i w:val="1"/>
          <w:iCs w:val="1"/>
          <w:color w:val="1f4e79"/>
          <w:sz w:val="20"/>
          <w:szCs w:val="20"/>
          <w:rtl w:val="0"/>
        </w:rPr>
        <w:t xml:space="preserve">Diagrama BPMN 2.0 — Proceso TO-BE 2: Diseño, Asignación y Entrega Digital de Rutinas</w:t>
      </w:r>
      <w:r w:rsidDel="00000000" w:rsidR="00000000" w:rsidRPr="00000000">
        <w:rPr>
          <w:rtl w:val="0"/>
        </w:rPr>
      </w:r>
    </w:p>
    <w:p w:rsidR="00000000" w:rsidDel="00000000" w:rsidP="00000000" w:rsidRDefault="00000000" w:rsidRPr="00000000" w14:paraId="0000003E">
      <w:pPr>
        <w:jc w:val="center"/>
        <w:rPr/>
      </w:pPr>
      <w:r w:rsidDel="00000000" w:rsidR="00000000" w:rsidRPr="00000000">
        <w:rPr/>
        <w:drawing>
          <wp:inline distB="0" distT="0" distL="114300" distR="114300">
            <wp:extent cx="5669280" cy="3856683"/>
            <wp:effectExtent b="0" l="0" r="0" t="0"/>
            <wp:docPr id="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669280" cy="385668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80" w:before="200" w:line="276" w:lineRule="auto"/>
        <w:jc w:val="left"/>
        <w:rPr/>
      </w:pPr>
      <w:r w:rsidDel="00000000" w:rsidR="00000000" w:rsidRPr="00000000">
        <w:rPr>
          <w:rFonts w:ascii="Calibri" w:cs="Calibri" w:eastAsia="Calibri" w:hAnsi="Calibri"/>
          <w:b w:val="1"/>
          <w:bCs w:val="1"/>
          <w:i w:val="0"/>
          <w:iCs w:val="0"/>
          <w:color w:val="2e75b6"/>
          <w:sz w:val="25"/>
          <w:szCs w:val="25"/>
          <w:rtl w:val="0"/>
        </w:rPr>
        <w:t xml:space="preserve">3.3 Proceso TO-BE N° 3: Ejecución del Entrenamiento y Motor Analítico ACWR</w:t>
      </w:r>
      <w:r w:rsidDel="00000000" w:rsidR="00000000" w:rsidRPr="00000000">
        <w:rPr>
          <w:rtl w:val="0"/>
        </w:rPr>
      </w:r>
    </w:p>
    <w:p w:rsidR="00000000" w:rsidDel="00000000" w:rsidP="00000000" w:rsidRDefault="00000000" w:rsidRPr="00000000" w14:paraId="00000041">
      <w:pPr>
        <w:spacing w:after="120" w:before="0" w:line="276" w:lineRule="auto"/>
        <w:jc w:val="both"/>
        <w:rPr/>
      </w:pPr>
      <w:r w:rsidDel="00000000" w:rsidR="00000000" w:rsidRPr="00000000">
        <w:rPr>
          <w:rFonts w:ascii="Calibri" w:cs="Calibri" w:eastAsia="Calibri" w:hAnsi="Calibri"/>
          <w:b w:val="0"/>
          <w:bCs w:val="0"/>
          <w:i w:val="0"/>
          <w:iCs w:val="0"/>
          <w:color w:val="323232"/>
          <w:sz w:val="20"/>
          <w:szCs w:val="20"/>
          <w:rtl w:val="0"/>
        </w:rPr>
        <w:t xml:space="preserve">A medida que el atleta ejecuta su entrenamiento en la sala de pesas, registra en la App Móvil las repeticiones reales, el peso levantado (kg) y su percepción subjetiva del esfuerzo (escala RPE de Borg de 1 a 10). Al finalizar la sesión, la app envía los datos al backend FastAPI, el cual calcula la carga de la sesión (Carga = Volumen Total × RPE). El motor analítico de fatiga actualiza de inmediato el índice ACWR (Acute:Chronic Workload Ratio), comparando la carga aguda acumulada en los últimos 7 días con la carga crónica promedio de los últimos 28 días. Si el ratio resultante supera el umbral crítico de 1.5 (zona de sobreentrenamiento y peligro de lesión musculoesquelética), el sistema emite una alerta preventiva de salud deportiva: despacha una notificación push al móvil del socio sugiriendo descanso o descompresión, y envía un correo formal al preparador físico y al administrador mediante Zoho Mail API. Se aplica un control de frecuencia (Rate Limiting de 1 alerta diaria) para garantizar alta efectividad y evitar la fatiga por notificaciones.</w:t>
      </w:r>
      <w:r w:rsidDel="00000000" w:rsidR="00000000" w:rsidRPr="00000000">
        <w:rPr>
          <w:rtl w:val="0"/>
        </w:rPr>
      </w:r>
    </w:p>
    <w:p w:rsidR="00000000" w:rsidDel="00000000" w:rsidP="00000000" w:rsidRDefault="00000000" w:rsidRPr="00000000" w14:paraId="00000042">
      <w:pPr>
        <w:spacing w:after="120" w:before="120" w:line="276" w:lineRule="auto"/>
        <w:jc w:val="center"/>
        <w:rPr/>
      </w:pPr>
      <w:r w:rsidDel="00000000" w:rsidR="00000000" w:rsidRPr="00000000">
        <w:rPr>
          <w:rFonts w:ascii="Calibri" w:cs="Calibri" w:eastAsia="Calibri" w:hAnsi="Calibri"/>
          <w:b w:val="1"/>
          <w:bCs w:val="1"/>
          <w:i w:val="1"/>
          <w:iCs w:val="1"/>
          <w:color w:val="1f4e79"/>
          <w:sz w:val="20"/>
          <w:szCs w:val="20"/>
          <w:rtl w:val="0"/>
        </w:rPr>
        <w:t xml:space="preserve">Diagrama BPMN 2.0 — Proceso TO-BE 3: Ejecución de Ejercicios y Motor Analítico ACWR</w:t>
      </w:r>
      <w:r w:rsidDel="00000000" w:rsidR="00000000" w:rsidRPr="00000000">
        <w:rPr>
          <w:rtl w:val="0"/>
        </w:rPr>
      </w:r>
    </w:p>
    <w:p w:rsidR="00000000" w:rsidDel="00000000" w:rsidP="00000000" w:rsidRDefault="00000000" w:rsidRPr="00000000" w14:paraId="00000043">
      <w:pPr>
        <w:jc w:val="center"/>
        <w:rPr/>
      </w:pPr>
      <w:r w:rsidDel="00000000" w:rsidR="00000000" w:rsidRPr="00000000">
        <w:rPr/>
        <w:drawing>
          <wp:inline distB="0" distT="0" distL="114300" distR="114300">
            <wp:extent cx="5669280" cy="3200963"/>
            <wp:effectExtent b="0" l="0" r="0" t="0"/>
            <wp:docPr id="1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669280" cy="320096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spacing w:after="120" w:before="280" w:line="276" w:lineRule="auto"/>
        <w:jc w:val="left"/>
        <w:rPr/>
      </w:pPr>
      <w:r w:rsidDel="00000000" w:rsidR="00000000" w:rsidRPr="00000000">
        <w:rPr>
          <w:rFonts w:ascii="Calibri" w:cs="Calibri" w:eastAsia="Calibri" w:hAnsi="Calibri"/>
          <w:b w:val="1"/>
          <w:bCs w:val="1"/>
          <w:i w:val="0"/>
          <w:iCs w:val="0"/>
          <w:color w:val="1f4e79"/>
          <w:sz w:val="30"/>
          <w:szCs w:val="30"/>
          <w:rtl w:val="0"/>
        </w:rPr>
        <w:t xml:space="preserve">4. Matriz Comparativa de Beneficios y KPIs de Negocio (AS-IS vs TO-BE)</w:t>
      </w:r>
      <w:r w:rsidDel="00000000" w:rsidR="00000000" w:rsidRPr="00000000">
        <w:rPr>
          <w:rtl w:val="0"/>
        </w:rPr>
      </w:r>
    </w:p>
    <w:p w:rsidR="00000000" w:rsidDel="00000000" w:rsidP="00000000" w:rsidRDefault="00000000" w:rsidRPr="00000000" w14:paraId="00000046">
      <w:pPr>
        <w:spacing w:after="120" w:before="0" w:line="276" w:lineRule="auto"/>
        <w:jc w:val="both"/>
        <w:rPr/>
      </w:pPr>
      <w:r w:rsidDel="00000000" w:rsidR="00000000" w:rsidRPr="00000000">
        <w:rPr>
          <w:rFonts w:ascii="Calibri" w:cs="Calibri" w:eastAsia="Calibri" w:hAnsi="Calibri"/>
          <w:b w:val="0"/>
          <w:bCs w:val="0"/>
          <w:i w:val="0"/>
          <w:iCs w:val="0"/>
          <w:color w:val="282828"/>
          <w:sz w:val="21"/>
          <w:szCs w:val="21"/>
          <w:rtl w:val="0"/>
        </w:rPr>
        <w:t xml:space="preserve">La implementación de los modelos TO-BE genera un impacto cuantitativo y cualitativo directo en los indicadores clave de desempeño (KPIs) de la red de gimnasios NovaFit, tal como se sintetiza en la siguiente matriz ejecutiva:</w:t>
      </w:r>
      <w:r w:rsidDel="00000000" w:rsidR="00000000" w:rsidRPr="00000000">
        <w:rPr>
          <w:rtl w:val="0"/>
        </w:rPr>
      </w:r>
    </w:p>
    <w:tbl>
      <w:tblPr>
        <w:tblStyle w:val="Table2"/>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f4e79" w:val="clear"/>
          </w:tcPr>
          <w:p w:rsidR="00000000" w:rsidDel="00000000" w:rsidP="00000000" w:rsidRDefault="00000000" w:rsidRPr="00000000" w14:paraId="00000047">
            <w:pPr>
              <w:spacing w:after="120" w:before="0" w:line="276" w:lineRule="auto"/>
              <w:jc w:val="center"/>
              <w:rPr/>
            </w:pPr>
            <w:r w:rsidDel="00000000" w:rsidR="00000000" w:rsidRPr="00000000">
              <w:rPr>
                <w:rFonts w:ascii="Calibri" w:cs="Calibri" w:eastAsia="Calibri" w:hAnsi="Calibri"/>
                <w:b w:val="1"/>
                <w:bCs w:val="1"/>
                <w:i w:val="0"/>
                <w:iCs w:val="0"/>
                <w:color w:val="ffffff"/>
                <w:sz w:val="19"/>
                <w:szCs w:val="19"/>
                <w:rtl w:val="0"/>
              </w:rPr>
              <w:t xml:space="preserve">Dimensión de Negocio</w:t>
            </w:r>
            <w:r w:rsidDel="00000000" w:rsidR="00000000" w:rsidRPr="00000000">
              <w:rPr>
                <w:rtl w:val="0"/>
              </w:rPr>
            </w:r>
          </w:p>
        </w:tc>
        <w:tc>
          <w:tcPr>
            <w:shd w:fill="1f4e79" w:val="clear"/>
          </w:tcPr>
          <w:p w:rsidR="00000000" w:rsidDel="00000000" w:rsidP="00000000" w:rsidRDefault="00000000" w:rsidRPr="00000000" w14:paraId="00000048">
            <w:pPr>
              <w:spacing w:after="120" w:before="0" w:line="276" w:lineRule="auto"/>
              <w:jc w:val="center"/>
              <w:rPr/>
            </w:pPr>
            <w:r w:rsidDel="00000000" w:rsidR="00000000" w:rsidRPr="00000000">
              <w:rPr>
                <w:rFonts w:ascii="Calibri" w:cs="Calibri" w:eastAsia="Calibri" w:hAnsi="Calibri"/>
                <w:b w:val="1"/>
                <w:bCs w:val="1"/>
                <w:i w:val="0"/>
                <w:iCs w:val="0"/>
                <w:color w:val="ffffff"/>
                <w:sz w:val="19"/>
                <w:szCs w:val="19"/>
                <w:rtl w:val="0"/>
              </w:rPr>
              <w:t xml:space="preserve">Proceso Tradicional (AS-IS)</w:t>
            </w:r>
            <w:r w:rsidDel="00000000" w:rsidR="00000000" w:rsidRPr="00000000">
              <w:rPr>
                <w:rtl w:val="0"/>
              </w:rPr>
            </w:r>
          </w:p>
        </w:tc>
        <w:tc>
          <w:tcPr>
            <w:shd w:fill="1f4e79" w:val="clear"/>
          </w:tcPr>
          <w:p w:rsidR="00000000" w:rsidDel="00000000" w:rsidP="00000000" w:rsidRDefault="00000000" w:rsidRPr="00000000" w14:paraId="00000049">
            <w:pPr>
              <w:spacing w:after="120" w:before="0" w:line="276" w:lineRule="auto"/>
              <w:jc w:val="center"/>
              <w:rPr/>
            </w:pPr>
            <w:r w:rsidDel="00000000" w:rsidR="00000000" w:rsidRPr="00000000">
              <w:rPr>
                <w:rFonts w:ascii="Calibri" w:cs="Calibri" w:eastAsia="Calibri" w:hAnsi="Calibri"/>
                <w:b w:val="1"/>
                <w:bCs w:val="1"/>
                <w:i w:val="0"/>
                <w:iCs w:val="0"/>
                <w:color w:val="ffffff"/>
                <w:sz w:val="19"/>
                <w:szCs w:val="19"/>
                <w:rtl w:val="0"/>
              </w:rPr>
              <w:t xml:space="preserve">Solución NovaFit (TO-BE)</w:t>
            </w:r>
            <w:r w:rsidDel="00000000" w:rsidR="00000000" w:rsidRPr="00000000">
              <w:rPr>
                <w:rtl w:val="0"/>
              </w:rPr>
            </w:r>
          </w:p>
        </w:tc>
        <w:tc>
          <w:tcPr>
            <w:shd w:fill="1f4e79" w:val="clear"/>
          </w:tcPr>
          <w:p w:rsidR="00000000" w:rsidDel="00000000" w:rsidP="00000000" w:rsidRDefault="00000000" w:rsidRPr="00000000" w14:paraId="0000004A">
            <w:pPr>
              <w:spacing w:after="120" w:before="0" w:line="276" w:lineRule="auto"/>
              <w:jc w:val="center"/>
              <w:rPr/>
            </w:pPr>
            <w:r w:rsidDel="00000000" w:rsidR="00000000" w:rsidRPr="00000000">
              <w:rPr>
                <w:rFonts w:ascii="Calibri" w:cs="Calibri" w:eastAsia="Calibri" w:hAnsi="Calibri"/>
                <w:b w:val="1"/>
                <w:bCs w:val="1"/>
                <w:i w:val="0"/>
                <w:iCs w:val="0"/>
                <w:color w:val="ffffff"/>
                <w:sz w:val="19"/>
                <w:szCs w:val="19"/>
                <w:rtl w:val="0"/>
              </w:rPr>
              <w:t xml:space="preserve">Impacto / KPI de Negocio</w:t>
            </w:r>
            <w:r w:rsidDel="00000000" w:rsidR="00000000" w:rsidRPr="00000000">
              <w:rPr>
                <w:rtl w:val="0"/>
              </w:rPr>
            </w:r>
          </w:p>
        </w:tc>
      </w:tr>
      <w:tr>
        <w:trPr>
          <w:cantSplit w:val="0"/>
          <w:tblHeader w:val="0"/>
        </w:trPr>
        <w:tc>
          <w:tcPr/>
          <w:p w:rsidR="00000000" w:rsidDel="00000000" w:rsidP="00000000" w:rsidRDefault="00000000" w:rsidRPr="00000000" w14:paraId="0000004B">
            <w:pPr>
              <w:spacing w:after="120" w:before="0" w:line="276" w:lineRule="auto"/>
              <w:jc w:val="left"/>
              <w:rPr/>
            </w:pPr>
            <w:r w:rsidDel="00000000" w:rsidR="00000000" w:rsidRPr="00000000">
              <w:rPr>
                <w:rFonts w:ascii="Calibri" w:cs="Calibri" w:eastAsia="Calibri" w:hAnsi="Calibri"/>
                <w:b w:val="1"/>
                <w:bCs w:val="1"/>
                <w:i w:val="0"/>
                <w:iCs w:val="0"/>
                <w:color w:val="282828"/>
                <w:sz w:val="17"/>
                <w:szCs w:val="17"/>
                <w:rtl w:val="0"/>
              </w:rPr>
              <w:t xml:space="preserve">Tiempo de Cobranza y Facturación</w:t>
            </w:r>
            <w:r w:rsidDel="00000000" w:rsidR="00000000" w:rsidRPr="00000000">
              <w:rPr>
                <w:rtl w:val="0"/>
              </w:rPr>
            </w:r>
          </w:p>
        </w:tc>
        <w:tc>
          <w:tcPr/>
          <w:p w:rsidR="00000000" w:rsidDel="00000000" w:rsidP="00000000" w:rsidRDefault="00000000" w:rsidRPr="00000000" w14:paraId="0000004C">
            <w:pPr>
              <w:spacing w:after="120" w:before="0" w:line="276" w:lineRule="auto"/>
              <w:jc w:val="left"/>
              <w:rPr/>
            </w:pPr>
            <w:r w:rsidDel="00000000" w:rsidR="00000000" w:rsidRPr="00000000">
              <w:rPr>
                <w:rFonts w:ascii="Calibri" w:cs="Calibri" w:eastAsia="Calibri" w:hAnsi="Calibri"/>
                <w:b w:val="0"/>
                <w:bCs w:val="0"/>
                <w:i w:val="0"/>
                <w:iCs w:val="0"/>
                <w:color w:val="282828"/>
                <w:sz w:val="17"/>
                <w:szCs w:val="17"/>
                <w:rtl w:val="0"/>
              </w:rPr>
              <w:t xml:space="preserve">8 a 15 minutos por socio (ingreso manual en Excel, verificación bancaria en línea).</w:t>
            </w:r>
            <w:r w:rsidDel="00000000" w:rsidR="00000000" w:rsidRPr="00000000">
              <w:rPr>
                <w:rtl w:val="0"/>
              </w:rPr>
            </w:r>
          </w:p>
        </w:tc>
        <w:tc>
          <w:tcPr/>
          <w:p w:rsidR="00000000" w:rsidDel="00000000" w:rsidP="00000000" w:rsidRDefault="00000000" w:rsidRPr="00000000" w14:paraId="0000004D">
            <w:pPr>
              <w:spacing w:after="120" w:before="0" w:line="276" w:lineRule="auto"/>
              <w:jc w:val="left"/>
              <w:rPr/>
            </w:pPr>
            <w:r w:rsidDel="00000000" w:rsidR="00000000" w:rsidRPr="00000000">
              <w:rPr>
                <w:rFonts w:ascii="Calibri" w:cs="Calibri" w:eastAsia="Calibri" w:hAnsi="Calibri"/>
                <w:b w:val="0"/>
                <w:bCs w:val="0"/>
                <w:i w:val="0"/>
                <w:iCs w:val="0"/>
                <w:color w:val="282828"/>
                <w:sz w:val="17"/>
                <w:szCs w:val="17"/>
                <w:rtl w:val="0"/>
              </w:rPr>
              <w:t xml:space="preserve">Menos de 30 segundos (generación de enlace Mercado Pago y confirmación desatendida por Webhook).</w:t>
            </w:r>
            <w:r w:rsidDel="00000000" w:rsidR="00000000" w:rsidRPr="00000000">
              <w:rPr>
                <w:rtl w:val="0"/>
              </w:rPr>
            </w:r>
          </w:p>
        </w:tc>
        <w:tc>
          <w:tcPr/>
          <w:p w:rsidR="00000000" w:rsidDel="00000000" w:rsidP="00000000" w:rsidRDefault="00000000" w:rsidRPr="00000000" w14:paraId="0000004E">
            <w:pPr>
              <w:spacing w:after="120" w:before="0" w:line="276" w:lineRule="auto"/>
              <w:jc w:val="left"/>
              <w:rPr/>
            </w:pPr>
            <w:r w:rsidDel="00000000" w:rsidR="00000000" w:rsidRPr="00000000">
              <w:rPr>
                <w:rFonts w:ascii="Calibri" w:cs="Calibri" w:eastAsia="Calibri" w:hAnsi="Calibri"/>
                <w:b w:val="0"/>
                <w:bCs w:val="0"/>
                <w:i w:val="0"/>
                <w:iCs w:val="0"/>
                <w:color w:val="282828"/>
                <w:sz w:val="17"/>
                <w:szCs w:val="17"/>
                <w:rtl w:val="0"/>
              </w:rPr>
              <w:t xml:space="preserve">Reducción del 92% en tiempo de recepción; eliminación de colas en mostrador.</w:t>
            </w:r>
            <w:r w:rsidDel="00000000" w:rsidR="00000000" w:rsidRPr="00000000">
              <w:rPr>
                <w:rtl w:val="0"/>
              </w:rPr>
            </w:r>
          </w:p>
        </w:tc>
      </w:tr>
      <w:tr>
        <w:trPr>
          <w:cantSplit w:val="0"/>
          <w:tblHeader w:val="0"/>
        </w:trPr>
        <w:tc>
          <w:tcPr/>
          <w:p w:rsidR="00000000" w:rsidDel="00000000" w:rsidP="00000000" w:rsidRDefault="00000000" w:rsidRPr="00000000" w14:paraId="0000004F">
            <w:pPr>
              <w:spacing w:after="120" w:before="0" w:line="276" w:lineRule="auto"/>
              <w:jc w:val="left"/>
              <w:rPr/>
            </w:pPr>
            <w:r w:rsidDel="00000000" w:rsidR="00000000" w:rsidRPr="00000000">
              <w:rPr>
                <w:rFonts w:ascii="Calibri" w:cs="Calibri" w:eastAsia="Calibri" w:hAnsi="Calibri"/>
                <w:b w:val="1"/>
                <w:bCs w:val="1"/>
                <w:i w:val="0"/>
                <w:iCs w:val="0"/>
                <w:color w:val="282828"/>
                <w:sz w:val="17"/>
                <w:szCs w:val="17"/>
                <w:rtl w:val="0"/>
              </w:rPr>
              <w:t xml:space="preserve">Conciliación de Pagos y Morosidad</w:t>
            </w:r>
            <w:r w:rsidDel="00000000" w:rsidR="00000000" w:rsidRPr="00000000">
              <w:rPr>
                <w:rtl w:val="0"/>
              </w:rPr>
            </w:r>
          </w:p>
        </w:tc>
        <w:tc>
          <w:tcPr/>
          <w:p w:rsidR="00000000" w:rsidDel="00000000" w:rsidP="00000000" w:rsidRDefault="00000000" w:rsidRPr="00000000" w14:paraId="00000050">
            <w:pPr>
              <w:spacing w:after="120" w:before="0" w:line="276" w:lineRule="auto"/>
              <w:jc w:val="left"/>
              <w:rPr/>
            </w:pPr>
            <w:r w:rsidDel="00000000" w:rsidR="00000000" w:rsidRPr="00000000">
              <w:rPr>
                <w:rFonts w:ascii="Calibri" w:cs="Calibri" w:eastAsia="Calibri" w:hAnsi="Calibri"/>
                <w:b w:val="0"/>
                <w:bCs w:val="0"/>
                <w:i w:val="0"/>
                <w:iCs w:val="0"/>
                <w:color w:val="282828"/>
                <w:sz w:val="17"/>
                <w:szCs w:val="17"/>
                <w:rtl w:val="0"/>
              </w:rPr>
              <w:t xml:space="preserve">Verificación manual propensa a omisiones; morosidad pasiva estimada en 18% del padrón.</w:t>
            </w:r>
            <w:r w:rsidDel="00000000" w:rsidR="00000000" w:rsidRPr="00000000">
              <w:rPr>
                <w:rtl w:val="0"/>
              </w:rPr>
            </w:r>
          </w:p>
        </w:tc>
        <w:tc>
          <w:tcPr/>
          <w:p w:rsidR="00000000" w:rsidDel="00000000" w:rsidP="00000000" w:rsidRDefault="00000000" w:rsidRPr="00000000" w14:paraId="00000051">
            <w:pPr>
              <w:spacing w:after="120" w:before="0" w:line="276" w:lineRule="auto"/>
              <w:jc w:val="left"/>
              <w:rPr/>
            </w:pPr>
            <w:r w:rsidDel="00000000" w:rsidR="00000000" w:rsidRPr="00000000">
              <w:rPr>
                <w:rFonts w:ascii="Calibri" w:cs="Calibri" w:eastAsia="Calibri" w:hAnsi="Calibri"/>
                <w:b w:val="0"/>
                <w:bCs w:val="0"/>
                <w:i w:val="0"/>
                <w:iCs w:val="0"/>
                <w:color w:val="282828"/>
                <w:sz w:val="17"/>
                <w:szCs w:val="17"/>
                <w:rtl w:val="0"/>
              </w:rPr>
              <w:t xml:space="preserve">Validación criptográfica automática por Webhook IPN; bloqueo automático de socios vencidos.</w:t>
            </w:r>
            <w:r w:rsidDel="00000000" w:rsidR="00000000" w:rsidRPr="00000000">
              <w:rPr>
                <w:rtl w:val="0"/>
              </w:rPr>
            </w:r>
          </w:p>
        </w:tc>
        <w:tc>
          <w:tcPr/>
          <w:p w:rsidR="00000000" w:rsidDel="00000000" w:rsidP="00000000" w:rsidRDefault="00000000" w:rsidRPr="00000000" w14:paraId="00000052">
            <w:pPr>
              <w:spacing w:after="120" w:before="0" w:line="276" w:lineRule="auto"/>
              <w:jc w:val="left"/>
              <w:rPr/>
            </w:pPr>
            <w:r w:rsidDel="00000000" w:rsidR="00000000" w:rsidRPr="00000000">
              <w:rPr>
                <w:rFonts w:ascii="Calibri" w:cs="Calibri" w:eastAsia="Calibri" w:hAnsi="Calibri"/>
                <w:b w:val="0"/>
                <w:bCs w:val="0"/>
                <w:i w:val="0"/>
                <w:iCs w:val="0"/>
                <w:color w:val="282828"/>
                <w:sz w:val="17"/>
                <w:szCs w:val="17"/>
                <w:rtl w:val="0"/>
              </w:rPr>
              <w:t xml:space="preserve">0% de desajuste contable; reducción de la tasa de morosidad a menos del 3%.</w:t>
            </w:r>
            <w:r w:rsidDel="00000000" w:rsidR="00000000" w:rsidRPr="00000000">
              <w:rPr>
                <w:rtl w:val="0"/>
              </w:rPr>
            </w:r>
          </w:p>
        </w:tc>
      </w:tr>
      <w:tr>
        <w:trPr>
          <w:cantSplit w:val="0"/>
          <w:tblHeader w:val="0"/>
        </w:trPr>
        <w:tc>
          <w:tcPr/>
          <w:p w:rsidR="00000000" w:rsidDel="00000000" w:rsidP="00000000" w:rsidRDefault="00000000" w:rsidRPr="00000000" w14:paraId="00000053">
            <w:pPr>
              <w:spacing w:after="120" w:before="0" w:line="276" w:lineRule="auto"/>
              <w:jc w:val="left"/>
              <w:rPr/>
            </w:pPr>
            <w:r w:rsidDel="00000000" w:rsidR="00000000" w:rsidRPr="00000000">
              <w:rPr>
                <w:rFonts w:ascii="Calibri" w:cs="Calibri" w:eastAsia="Calibri" w:hAnsi="Calibri"/>
                <w:b w:val="1"/>
                <w:bCs w:val="1"/>
                <w:i w:val="0"/>
                <w:iCs w:val="0"/>
                <w:color w:val="282828"/>
                <w:sz w:val="17"/>
                <w:szCs w:val="17"/>
                <w:rtl w:val="0"/>
              </w:rPr>
              <w:t xml:space="preserve">Entrega y Portabilidad de Rutinas</w:t>
            </w:r>
            <w:r w:rsidDel="00000000" w:rsidR="00000000" w:rsidRPr="00000000">
              <w:rPr>
                <w:rtl w:val="0"/>
              </w:rPr>
            </w:r>
          </w:p>
        </w:tc>
        <w:tc>
          <w:tcPr/>
          <w:p w:rsidR="00000000" w:rsidDel="00000000" w:rsidP="00000000" w:rsidRDefault="00000000" w:rsidRPr="00000000" w14:paraId="00000054">
            <w:pPr>
              <w:spacing w:after="120" w:before="0" w:line="276" w:lineRule="auto"/>
              <w:jc w:val="left"/>
              <w:rPr/>
            </w:pPr>
            <w:r w:rsidDel="00000000" w:rsidR="00000000" w:rsidRPr="00000000">
              <w:rPr>
                <w:rFonts w:ascii="Calibri" w:cs="Calibri" w:eastAsia="Calibri" w:hAnsi="Calibri"/>
                <w:b w:val="0"/>
                <w:bCs w:val="0"/>
                <w:i w:val="0"/>
                <w:iCs w:val="0"/>
                <w:color w:val="282828"/>
                <w:sz w:val="17"/>
                <w:szCs w:val="17"/>
                <w:rtl w:val="0"/>
              </w:rPr>
              <w:t xml:space="preserve">Fichas de cartón deterioradas o perdidas; pizarras físicas sin historial.</w:t>
            </w:r>
            <w:r w:rsidDel="00000000" w:rsidR="00000000" w:rsidRPr="00000000">
              <w:rPr>
                <w:rtl w:val="0"/>
              </w:rPr>
            </w:r>
          </w:p>
        </w:tc>
        <w:tc>
          <w:tcPr/>
          <w:p w:rsidR="00000000" w:rsidDel="00000000" w:rsidP="00000000" w:rsidRDefault="00000000" w:rsidRPr="00000000" w14:paraId="00000055">
            <w:pPr>
              <w:spacing w:after="120" w:before="0" w:line="276" w:lineRule="auto"/>
              <w:jc w:val="left"/>
              <w:rPr/>
            </w:pPr>
            <w:r w:rsidDel="00000000" w:rsidR="00000000" w:rsidRPr="00000000">
              <w:rPr>
                <w:rFonts w:ascii="Calibri" w:cs="Calibri" w:eastAsia="Calibri" w:hAnsi="Calibri"/>
                <w:b w:val="0"/>
                <w:bCs w:val="0"/>
                <w:i w:val="0"/>
                <w:iCs w:val="0"/>
                <w:color w:val="282828"/>
                <w:sz w:val="17"/>
                <w:szCs w:val="17"/>
                <w:rtl w:val="0"/>
              </w:rPr>
              <w:t xml:space="preserve">App Móvil nativa Android con catálogo interactivo, GIFs demostrativos y tiempos de descanso.</w:t>
            </w:r>
            <w:r w:rsidDel="00000000" w:rsidR="00000000" w:rsidRPr="00000000">
              <w:rPr>
                <w:rtl w:val="0"/>
              </w:rPr>
            </w:r>
          </w:p>
        </w:tc>
        <w:tc>
          <w:tcPr/>
          <w:p w:rsidR="00000000" w:rsidDel="00000000" w:rsidP="00000000" w:rsidRDefault="00000000" w:rsidRPr="00000000" w14:paraId="00000056">
            <w:pPr>
              <w:spacing w:after="120" w:before="0" w:line="276" w:lineRule="auto"/>
              <w:jc w:val="left"/>
              <w:rPr/>
            </w:pPr>
            <w:r w:rsidDel="00000000" w:rsidR="00000000" w:rsidRPr="00000000">
              <w:rPr>
                <w:rFonts w:ascii="Calibri" w:cs="Calibri" w:eastAsia="Calibri" w:hAnsi="Calibri"/>
                <w:b w:val="0"/>
                <w:bCs w:val="0"/>
                <w:i w:val="0"/>
                <w:iCs w:val="0"/>
                <w:color w:val="282828"/>
                <w:sz w:val="17"/>
                <w:szCs w:val="17"/>
                <w:rtl w:val="0"/>
              </w:rPr>
              <w:t xml:space="preserve">100% de portabilidad; ahorro del 100% en insumos de papel; satisfacción del socio superior al 95%.</w:t>
            </w:r>
            <w:r w:rsidDel="00000000" w:rsidR="00000000" w:rsidRPr="00000000">
              <w:rPr>
                <w:rtl w:val="0"/>
              </w:rPr>
            </w:r>
          </w:p>
        </w:tc>
      </w:tr>
      <w:tr>
        <w:trPr>
          <w:cantSplit w:val="0"/>
          <w:tblHeader w:val="0"/>
        </w:trPr>
        <w:tc>
          <w:tcPr/>
          <w:p w:rsidR="00000000" w:rsidDel="00000000" w:rsidP="00000000" w:rsidRDefault="00000000" w:rsidRPr="00000000" w14:paraId="00000057">
            <w:pPr>
              <w:spacing w:after="120" w:before="0" w:line="276" w:lineRule="auto"/>
              <w:jc w:val="left"/>
              <w:rPr/>
            </w:pPr>
            <w:r w:rsidDel="00000000" w:rsidR="00000000" w:rsidRPr="00000000">
              <w:rPr>
                <w:rFonts w:ascii="Calibri" w:cs="Calibri" w:eastAsia="Calibri" w:hAnsi="Calibri"/>
                <w:b w:val="1"/>
                <w:bCs w:val="1"/>
                <w:i w:val="0"/>
                <w:iCs w:val="0"/>
                <w:color w:val="282828"/>
                <w:sz w:val="17"/>
                <w:szCs w:val="17"/>
                <w:rtl w:val="0"/>
              </w:rPr>
              <w:t xml:space="preserve">Monitoreo de Carga y Fatiga</w:t>
            </w:r>
            <w:r w:rsidDel="00000000" w:rsidR="00000000" w:rsidRPr="00000000">
              <w:rPr>
                <w:rtl w:val="0"/>
              </w:rPr>
            </w:r>
          </w:p>
        </w:tc>
        <w:tc>
          <w:tcPr/>
          <w:p w:rsidR="00000000" w:rsidDel="00000000" w:rsidP="00000000" w:rsidRDefault="00000000" w:rsidRPr="00000000" w14:paraId="00000058">
            <w:pPr>
              <w:spacing w:after="120" w:before="0" w:line="276" w:lineRule="auto"/>
              <w:jc w:val="left"/>
              <w:rPr/>
            </w:pPr>
            <w:r w:rsidDel="00000000" w:rsidR="00000000" w:rsidRPr="00000000">
              <w:rPr>
                <w:rFonts w:ascii="Calibri" w:cs="Calibri" w:eastAsia="Calibri" w:hAnsi="Calibri"/>
                <w:b w:val="0"/>
                <w:bCs w:val="0"/>
                <w:i w:val="0"/>
                <w:iCs w:val="0"/>
                <w:color w:val="282828"/>
                <w:sz w:val="17"/>
                <w:szCs w:val="17"/>
                <w:rtl w:val="0"/>
              </w:rPr>
              <w:t xml:space="preserve">Supervisión subjetiva; lesiones musculares detectadas post-evento incapacitante.</w:t>
            </w:r>
            <w:r w:rsidDel="00000000" w:rsidR="00000000" w:rsidRPr="00000000">
              <w:rPr>
                <w:rtl w:val="0"/>
              </w:rPr>
            </w:r>
          </w:p>
        </w:tc>
        <w:tc>
          <w:tcPr/>
          <w:p w:rsidR="00000000" w:rsidDel="00000000" w:rsidP="00000000" w:rsidRDefault="00000000" w:rsidRPr="00000000" w14:paraId="00000059">
            <w:pPr>
              <w:spacing w:after="120" w:before="0" w:line="276" w:lineRule="auto"/>
              <w:jc w:val="left"/>
              <w:rPr/>
            </w:pPr>
            <w:r w:rsidDel="00000000" w:rsidR="00000000" w:rsidRPr="00000000">
              <w:rPr>
                <w:rFonts w:ascii="Calibri" w:cs="Calibri" w:eastAsia="Calibri" w:hAnsi="Calibri"/>
                <w:b w:val="0"/>
                <w:bCs w:val="0"/>
                <w:i w:val="0"/>
                <w:iCs w:val="0"/>
                <w:color w:val="282828"/>
                <w:sz w:val="17"/>
                <w:szCs w:val="17"/>
                <w:rtl w:val="0"/>
              </w:rPr>
              <w:t xml:space="preserve">Algoritmo ACWR en tiempo real (Carga Aguda 7d / Crónica 28d) con ratio crítico &gt; 1.5.</w:t>
            </w:r>
            <w:r w:rsidDel="00000000" w:rsidR="00000000" w:rsidRPr="00000000">
              <w:rPr>
                <w:rtl w:val="0"/>
              </w:rPr>
            </w:r>
          </w:p>
        </w:tc>
        <w:tc>
          <w:tcPr/>
          <w:p w:rsidR="00000000" w:rsidDel="00000000" w:rsidP="00000000" w:rsidRDefault="00000000" w:rsidRPr="00000000" w14:paraId="0000005A">
            <w:pPr>
              <w:spacing w:after="120" w:before="0" w:line="276" w:lineRule="auto"/>
              <w:jc w:val="left"/>
              <w:rPr/>
            </w:pPr>
            <w:r w:rsidDel="00000000" w:rsidR="00000000" w:rsidRPr="00000000">
              <w:rPr>
                <w:rFonts w:ascii="Calibri" w:cs="Calibri" w:eastAsia="Calibri" w:hAnsi="Calibri"/>
                <w:b w:val="0"/>
                <w:bCs w:val="0"/>
                <w:i w:val="0"/>
                <w:iCs w:val="0"/>
                <w:color w:val="282828"/>
                <w:sz w:val="17"/>
                <w:szCs w:val="17"/>
                <w:rtl w:val="0"/>
              </w:rPr>
              <w:t xml:space="preserve">Disminución estimada del 65% en lesiones musculares por sobreentrenamiento prevenible.</w:t>
            </w:r>
            <w:r w:rsidDel="00000000" w:rsidR="00000000" w:rsidRPr="00000000">
              <w:rPr>
                <w:rtl w:val="0"/>
              </w:rPr>
            </w:r>
          </w:p>
        </w:tc>
      </w:tr>
      <w:tr>
        <w:trPr>
          <w:cantSplit w:val="0"/>
          <w:tblHeader w:val="0"/>
        </w:trPr>
        <w:tc>
          <w:tcPr/>
          <w:p w:rsidR="00000000" w:rsidDel="00000000" w:rsidP="00000000" w:rsidRDefault="00000000" w:rsidRPr="00000000" w14:paraId="0000005B">
            <w:pPr>
              <w:spacing w:after="120" w:before="0" w:line="276" w:lineRule="auto"/>
              <w:jc w:val="left"/>
              <w:rPr/>
            </w:pPr>
            <w:r w:rsidDel="00000000" w:rsidR="00000000" w:rsidRPr="00000000">
              <w:rPr>
                <w:rFonts w:ascii="Calibri" w:cs="Calibri" w:eastAsia="Calibri" w:hAnsi="Calibri"/>
                <w:b w:val="1"/>
                <w:bCs w:val="1"/>
                <w:i w:val="0"/>
                <w:iCs w:val="0"/>
                <w:color w:val="282828"/>
                <w:sz w:val="17"/>
                <w:szCs w:val="17"/>
                <w:rtl w:val="0"/>
              </w:rPr>
              <w:t xml:space="preserve">Canal de Comunicación y Alertas</w:t>
            </w:r>
            <w:r w:rsidDel="00000000" w:rsidR="00000000" w:rsidRPr="00000000">
              <w:rPr>
                <w:rtl w:val="0"/>
              </w:rPr>
            </w:r>
          </w:p>
        </w:tc>
        <w:tc>
          <w:tcPr/>
          <w:p w:rsidR="00000000" w:rsidDel="00000000" w:rsidP="00000000" w:rsidRDefault="00000000" w:rsidRPr="00000000" w14:paraId="0000005C">
            <w:pPr>
              <w:spacing w:after="120" w:before="0" w:line="276" w:lineRule="auto"/>
              <w:jc w:val="left"/>
              <w:rPr/>
            </w:pPr>
            <w:r w:rsidDel="00000000" w:rsidR="00000000" w:rsidRPr="00000000">
              <w:rPr>
                <w:rFonts w:ascii="Calibri" w:cs="Calibri" w:eastAsia="Calibri" w:hAnsi="Calibri"/>
                <w:b w:val="0"/>
                <w:bCs w:val="0"/>
                <w:i w:val="0"/>
                <w:iCs w:val="0"/>
                <w:color w:val="282828"/>
                <w:sz w:val="17"/>
                <w:szCs w:val="17"/>
                <w:rtl w:val="0"/>
              </w:rPr>
              <w:t xml:space="preserve">WhatsApp informal o llamadas no registradas; descontrol comunicacional.</w:t>
            </w:r>
            <w:r w:rsidDel="00000000" w:rsidR="00000000" w:rsidRPr="00000000">
              <w:rPr>
                <w:rtl w:val="0"/>
              </w:rPr>
            </w:r>
          </w:p>
        </w:tc>
        <w:tc>
          <w:tcPr/>
          <w:p w:rsidR="00000000" w:rsidDel="00000000" w:rsidP="00000000" w:rsidRDefault="00000000" w:rsidRPr="00000000" w14:paraId="0000005D">
            <w:pPr>
              <w:spacing w:after="120" w:before="0" w:line="276" w:lineRule="auto"/>
              <w:jc w:val="left"/>
              <w:rPr/>
            </w:pPr>
            <w:r w:rsidDel="00000000" w:rsidR="00000000" w:rsidRPr="00000000">
              <w:rPr>
                <w:rFonts w:ascii="Calibri" w:cs="Calibri" w:eastAsia="Calibri" w:hAnsi="Calibri"/>
                <w:b w:val="0"/>
                <w:bCs w:val="0"/>
                <w:i w:val="0"/>
                <w:iCs w:val="0"/>
                <w:color w:val="282828"/>
                <w:sz w:val="17"/>
                <w:szCs w:val="17"/>
                <w:rtl w:val="0"/>
              </w:rPr>
              <w:t xml:space="preserve">Zoho Mail API OAuth2 corporativo y notificaciones push nativas en Expo con rate limit.</w:t>
            </w:r>
            <w:r w:rsidDel="00000000" w:rsidR="00000000" w:rsidRPr="00000000">
              <w:rPr>
                <w:rtl w:val="0"/>
              </w:rPr>
            </w:r>
          </w:p>
        </w:tc>
        <w:tc>
          <w:tcPr/>
          <w:p w:rsidR="00000000" w:rsidDel="00000000" w:rsidP="00000000" w:rsidRDefault="00000000" w:rsidRPr="00000000" w14:paraId="0000005E">
            <w:pPr>
              <w:spacing w:after="120" w:before="0" w:line="276" w:lineRule="auto"/>
              <w:jc w:val="left"/>
              <w:rPr/>
            </w:pPr>
            <w:r w:rsidDel="00000000" w:rsidR="00000000" w:rsidRPr="00000000">
              <w:rPr>
                <w:rFonts w:ascii="Calibri" w:cs="Calibri" w:eastAsia="Calibri" w:hAnsi="Calibri"/>
                <w:b w:val="0"/>
                <w:bCs w:val="0"/>
                <w:i w:val="0"/>
                <w:iCs w:val="0"/>
                <w:color w:val="282828"/>
                <w:sz w:val="17"/>
                <w:szCs w:val="17"/>
                <w:rtl w:val="0"/>
              </w:rPr>
              <w:t xml:space="preserve">100% de trazabilidad en avisos de riesgo y cobro; cero spam informativo (máx. 1 alerta/día).</w:t>
            </w:r>
            <w:r w:rsidDel="00000000" w:rsidR="00000000" w:rsidRPr="00000000">
              <w:rPr>
                <w:rtl w:val="0"/>
              </w:rPr>
            </w:r>
          </w:p>
        </w:tc>
      </w:tr>
      <w:tr>
        <w:trPr>
          <w:cantSplit w:val="0"/>
          <w:tblHeader w:val="0"/>
        </w:trPr>
        <w:tc>
          <w:tcPr/>
          <w:p w:rsidR="00000000" w:rsidDel="00000000" w:rsidP="00000000" w:rsidRDefault="00000000" w:rsidRPr="00000000" w14:paraId="0000005F">
            <w:pPr>
              <w:spacing w:after="120" w:before="0" w:line="276" w:lineRule="auto"/>
              <w:jc w:val="left"/>
              <w:rPr/>
            </w:pPr>
            <w:r w:rsidDel="00000000" w:rsidR="00000000" w:rsidRPr="00000000">
              <w:rPr>
                <w:rFonts w:ascii="Calibri" w:cs="Calibri" w:eastAsia="Calibri" w:hAnsi="Calibri"/>
                <w:b w:val="1"/>
                <w:bCs w:val="1"/>
                <w:i w:val="0"/>
                <w:iCs w:val="0"/>
                <w:color w:val="282828"/>
                <w:sz w:val="17"/>
                <w:szCs w:val="17"/>
                <w:rtl w:val="0"/>
              </w:rPr>
              <w:t xml:space="preserve">Escalabilidad Multi-Sede</w:t>
            </w:r>
            <w:r w:rsidDel="00000000" w:rsidR="00000000" w:rsidRPr="00000000">
              <w:rPr>
                <w:rtl w:val="0"/>
              </w:rPr>
            </w:r>
          </w:p>
        </w:tc>
        <w:tc>
          <w:tcPr/>
          <w:p w:rsidR="00000000" w:rsidDel="00000000" w:rsidP="00000000" w:rsidRDefault="00000000" w:rsidRPr="00000000" w14:paraId="00000060">
            <w:pPr>
              <w:spacing w:after="120" w:before="0" w:line="276" w:lineRule="auto"/>
              <w:jc w:val="left"/>
              <w:rPr/>
            </w:pPr>
            <w:r w:rsidDel="00000000" w:rsidR="00000000" w:rsidRPr="00000000">
              <w:rPr>
                <w:rFonts w:ascii="Calibri" w:cs="Calibri" w:eastAsia="Calibri" w:hAnsi="Calibri"/>
                <w:b w:val="0"/>
                <w:bCs w:val="0"/>
                <w:i w:val="0"/>
                <w:iCs w:val="0"/>
                <w:color w:val="282828"/>
                <w:sz w:val="17"/>
                <w:szCs w:val="17"/>
                <w:rtl w:val="0"/>
              </w:rPr>
              <w:t xml:space="preserve">Imposibilidad de consolidar datos entre sedes; bases de datos aisladas.</w:t>
            </w:r>
            <w:r w:rsidDel="00000000" w:rsidR="00000000" w:rsidRPr="00000000">
              <w:rPr>
                <w:rtl w:val="0"/>
              </w:rPr>
            </w:r>
          </w:p>
        </w:tc>
        <w:tc>
          <w:tcPr/>
          <w:p w:rsidR="00000000" w:rsidDel="00000000" w:rsidP="00000000" w:rsidRDefault="00000000" w:rsidRPr="00000000" w14:paraId="00000061">
            <w:pPr>
              <w:spacing w:after="120" w:before="0" w:line="276" w:lineRule="auto"/>
              <w:jc w:val="left"/>
              <w:rPr/>
            </w:pPr>
            <w:r w:rsidDel="00000000" w:rsidR="00000000" w:rsidRPr="00000000">
              <w:rPr>
                <w:rFonts w:ascii="Calibri" w:cs="Calibri" w:eastAsia="Calibri" w:hAnsi="Calibri"/>
                <w:b w:val="0"/>
                <w:bCs w:val="0"/>
                <w:i w:val="0"/>
                <w:iCs w:val="0"/>
                <w:color w:val="282828"/>
                <w:sz w:val="17"/>
                <w:szCs w:val="17"/>
                <w:rtl w:val="0"/>
              </w:rPr>
              <w:t xml:space="preserve">Arquitectura SaaS Multi-tenant en la nube (PostgreSQL 16 en Supabase/Render con filtrado branch_id).</w:t>
            </w:r>
            <w:r w:rsidDel="00000000" w:rsidR="00000000" w:rsidRPr="00000000">
              <w:rPr>
                <w:rtl w:val="0"/>
              </w:rPr>
            </w:r>
          </w:p>
        </w:tc>
        <w:tc>
          <w:tcPr/>
          <w:p w:rsidR="00000000" w:rsidDel="00000000" w:rsidP="00000000" w:rsidRDefault="00000000" w:rsidRPr="00000000" w14:paraId="00000062">
            <w:pPr>
              <w:spacing w:after="120" w:before="0" w:line="276" w:lineRule="auto"/>
              <w:jc w:val="left"/>
              <w:rPr/>
            </w:pPr>
            <w:r w:rsidDel="00000000" w:rsidR="00000000" w:rsidRPr="00000000">
              <w:rPr>
                <w:rFonts w:ascii="Calibri" w:cs="Calibri" w:eastAsia="Calibri" w:hAnsi="Calibri"/>
                <w:b w:val="0"/>
                <w:bCs w:val="0"/>
                <w:i w:val="0"/>
                <w:iCs w:val="0"/>
                <w:color w:val="282828"/>
                <w:sz w:val="17"/>
                <w:szCs w:val="17"/>
                <w:rtl w:val="0"/>
              </w:rPr>
              <w:t xml:space="preserve">Capacidad de gestionar múltiples sucursales con control centralizado y auditoría unificada.</w:t>
            </w: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120" w:before="280" w:line="276" w:lineRule="auto"/>
        <w:jc w:val="left"/>
        <w:rPr/>
      </w:pPr>
      <w:r w:rsidDel="00000000" w:rsidR="00000000" w:rsidRPr="00000000">
        <w:rPr>
          <w:rFonts w:ascii="Calibri" w:cs="Calibri" w:eastAsia="Calibri" w:hAnsi="Calibri"/>
          <w:b w:val="1"/>
          <w:bCs w:val="1"/>
          <w:i w:val="0"/>
          <w:iCs w:val="0"/>
          <w:color w:val="1f4e79"/>
          <w:sz w:val="30"/>
          <w:szCs w:val="30"/>
          <w:rtl w:val="0"/>
        </w:rPr>
        <w:t xml:space="preserve">5. Conclusiones del Modelamiento</w:t>
      </w:r>
      <w:r w:rsidDel="00000000" w:rsidR="00000000" w:rsidRPr="00000000">
        <w:rPr>
          <w:rtl w:val="0"/>
        </w:rPr>
      </w:r>
    </w:p>
    <w:p w:rsidR="00000000" w:rsidDel="00000000" w:rsidP="00000000" w:rsidRDefault="00000000" w:rsidRPr="00000000" w14:paraId="00000065">
      <w:pPr>
        <w:spacing w:after="120" w:before="0" w:line="276" w:lineRule="auto"/>
        <w:jc w:val="both"/>
        <w:rPr/>
      </w:pPr>
      <w:r w:rsidDel="00000000" w:rsidR="00000000" w:rsidRPr="00000000">
        <w:rPr>
          <w:rFonts w:ascii="Calibri" w:cs="Calibri" w:eastAsia="Calibri" w:hAnsi="Calibri"/>
          <w:b w:val="0"/>
          <w:bCs w:val="0"/>
          <w:i w:val="0"/>
          <w:iCs w:val="0"/>
          <w:color w:val="282828"/>
          <w:sz w:val="21"/>
          <w:szCs w:val="21"/>
          <w:rtl w:val="0"/>
        </w:rPr>
        <w:t xml:space="preserve">El modelamiento BPMN 2.0 desarrollado para la Fase 2 demuestra de manera fehaciente cómo NovaFit Analytics Suite transforma un negocio tradicional de gimnasio en una operación digital de alto rendimiento. La supresión de la conciliación bancaria manual mediante Mercado Pago, la digitalización de programas de ejercicio en la app móvil y, fundamentalmente, la incorporación pionera del índice de fatiga ACWR posicionan a esta solución como un producto SaaS con un valor de mercado y retorno de inversión (ROI) sumamente competitivo para la industria del fitness.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6.png"/><Relationship Id="rId12"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03YSZ8pyD0ttqLehOq+74Mwl7g==">CgMxLjA4AHIhMVo5NmpMQ0s3R01IN1U4UVhrcDN0TmpYSDhkclRDeGlZ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