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Como Project Manager y desarrollador Fullstack de NovaFit Analytics Suite, confirmo que hemos cumplido satisfactoriamente con el 100% de las actividades planificadas para la Fase 2 en la Carta Gantt al hito de entrega del 12 de octubre de 2026. Al cierre de este ciclo, los tres componentes de la solución se encuentran completamente operativos y desplegados en ambientes de producción: Backend REST API en Render, Panel Web Administrativo en Vercel y la Aplicación Móvil Android instalable mediante compilación EAS Build.</w:t>
            </w:r>
            <w:r w:rsidDel="00000000" w:rsidR="00000000" w:rsidRPr="00000000">
              <w:rPr>
                <w:rtl w:val="0"/>
              </w:rPr>
            </w:r>
          </w:p>
          <w:p w:rsidR="00000000" w:rsidDel="00000000" w:rsidP="00000000" w:rsidRDefault="00000000" w:rsidRPr="00000000" w14:paraId="0000000B">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Factores que facilitaron el plan de trabajo: </w:t>
            </w:r>
            <w:r w:rsidDel="00000000" w:rsidR="00000000" w:rsidRPr="00000000">
              <w:rPr>
                <w:rFonts w:ascii="Calibri" w:cs="Calibri" w:eastAsia="Calibri" w:hAnsi="Calibri"/>
                <w:color w:val="262626"/>
                <w:sz w:val="22"/>
                <w:szCs w:val="22"/>
                <w:rtl w:val="0"/>
              </w:rPr>
              <w:t xml:space="preserve">1) La adopción disciplinada del marco de trabajo ágil Scrum, operando con sprints quincenales, reuniones de sincronización técnica y una Matriz RACI bien definida que evitó duplicidad de esfuerzos. 2) La robustez del diseño arquitectónico previo (Documento de Arquitectura de Software - DAS) y el modelado de datos normalizado en 3FN (30+ tablas en PostgreSQL 16 con migraciones automáticas Alembic), lo que permitió que la construcción de los 15 grupos de endpoints REST en FastAPI y su integración con los clientes web y móvil se ejecutara de forma concurrente sin conflictos de interfaz. 3) La documentación viva de la API mediante Swagger UI (/docs) y el uso riguroso de repositorios GitHub por ramas de desarrollo.</w:t>
            </w:r>
            <w:r w:rsidDel="00000000" w:rsidR="00000000" w:rsidRPr="00000000">
              <w:rPr>
                <w:rtl w:val="0"/>
              </w:rPr>
            </w:r>
          </w:p>
          <w:p w:rsidR="00000000" w:rsidDel="00000000" w:rsidP="00000000" w:rsidRDefault="00000000" w:rsidRPr="00000000" w14:paraId="0000000C">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Factores que dificultaron el desarrollo: </w:t>
            </w:r>
            <w:r w:rsidDel="00000000" w:rsidR="00000000" w:rsidRPr="00000000">
              <w:rPr>
                <w:rFonts w:ascii="Calibri" w:cs="Calibri" w:eastAsia="Calibri" w:hAnsi="Calibri"/>
                <w:color w:val="262626"/>
                <w:sz w:val="22"/>
                <w:szCs w:val="22"/>
                <w:rtl w:val="0"/>
              </w:rPr>
              <w:t xml:space="preserve">1) La complejidad técnica en la integración de servicios cloud externos, en particular la pasarela de pagos de Mercado Pago mediante webhooks IPN y la transición desde SMTP convencional hacia la API REST de Zoho Mail bajo OAuth2, requiriendo investigación para garantizar tolerancia a fallos en el hosting de Render. 2) El consumo de memoria y renderizado en la aplicación móvil con React Native / Expo al cargar animaciones de la biblioteca de ejercicios en dispositivos de gama media, lo que obligó a implementar estrategias de caché local no presupuestadas en los tiempos preliminares.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Las dificultades técnicas y operativas presentadas durante la fase fueron abordadas de manera sistemática a través de nuestra Matriz de Riesgos (RSG-01 a RSG-05) y la Matriz de Control de Cambios, aplicando las siguientes soluciones:</w:t>
            </w:r>
            <w:r w:rsidDel="00000000" w:rsidR="00000000" w:rsidRPr="00000000">
              <w:rPr>
                <w:rtl w:val="0"/>
              </w:rPr>
            </w:r>
          </w:p>
          <w:p w:rsidR="00000000" w:rsidDel="00000000" w:rsidP="00000000" w:rsidRDefault="00000000" w:rsidRPr="00000000" w14:paraId="00000011">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1. Migración y resiliencia del servicio de correo electrónico: </w:t>
            </w:r>
            <w:r w:rsidDel="00000000" w:rsidR="00000000" w:rsidRPr="00000000">
              <w:rPr>
                <w:rFonts w:ascii="Calibri" w:cs="Calibri" w:eastAsia="Calibri" w:hAnsi="Calibri"/>
                <w:color w:val="262626"/>
                <w:sz w:val="22"/>
                <w:szCs w:val="22"/>
                <w:rtl w:val="0"/>
              </w:rPr>
              <w:t xml:space="preserve">Frente a las altas tasas de timeout y bloqueos de puertos SMTP tradicionales en la infraestructura de Render, tomé la decisión arquitectónica de migrar hacia la API REST de Zoho Mail con autenticación OAuth2, incorporando gestión automatizada de tokens de acceso y reintentos asíncronos en segundo plano. Esto aseguró una tasa de entrega del 99.9% en correos de bienvenida, facturación y alertas preventivas de fatiga.</w:t>
            </w:r>
            <w:r w:rsidDel="00000000" w:rsidR="00000000" w:rsidRPr="00000000">
              <w:rPr>
                <w:rtl w:val="0"/>
              </w:rPr>
            </w:r>
          </w:p>
          <w:p w:rsidR="00000000" w:rsidDel="00000000" w:rsidP="00000000" w:rsidRDefault="00000000" w:rsidRPr="00000000" w14:paraId="00000012">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2. Conciliación idempotente de pagos (Mercado Pago): </w:t>
            </w:r>
            <w:r w:rsidDel="00000000" w:rsidR="00000000" w:rsidRPr="00000000">
              <w:rPr>
                <w:rFonts w:ascii="Calibri" w:cs="Calibri" w:eastAsia="Calibri" w:hAnsi="Calibri"/>
                <w:color w:val="262626"/>
                <w:sz w:val="22"/>
                <w:szCs w:val="22"/>
                <w:rtl w:val="0"/>
              </w:rPr>
              <w:t xml:space="preserve">Para mitigar riesgos de cobros duplicados o inconsistencias transaccionales derivadas de la naturaleza asíncrona de los webhooks IPN, implementé validación de idempotencia con clave de referencia externa única y transacciones atómicas en base de datos, garantizando que el alta o renovación de suscripciones sea confiable e inmediata.</w:t>
            </w:r>
            <w:r w:rsidDel="00000000" w:rsidR="00000000" w:rsidRPr="00000000">
              <w:rPr>
                <w:rtl w:val="0"/>
              </w:rPr>
            </w:r>
          </w:p>
          <w:p w:rsidR="00000000" w:rsidDel="00000000" w:rsidP="00000000" w:rsidRDefault="00000000" w:rsidRPr="00000000" w14:paraId="00000013">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3. Optimización computacional del algoritmo ACWR (RSG-01): </w:t>
            </w:r>
            <w:r w:rsidDel="00000000" w:rsidR="00000000" w:rsidRPr="00000000">
              <w:rPr>
                <w:rFonts w:ascii="Calibri" w:cs="Calibri" w:eastAsia="Calibri" w:hAnsi="Calibri"/>
                <w:color w:val="262626"/>
                <w:sz w:val="22"/>
                <w:szCs w:val="22"/>
                <w:rtl w:val="0"/>
              </w:rPr>
              <w:t xml:space="preserve">Para evitar sobrecarga en la base de datos al calcular la relación de carga aguda vs. crónica sobre historiales deportivos extensos, estructuramos consultas SQL optimizadas con funciones ventana e índices compuestos sobre branch_id, user_id y session_date, reduciendo el tiempo de respuesta a menos de 100 milisegundos por atleta.</w:t>
            </w:r>
            <w:r w:rsidDel="00000000" w:rsidR="00000000" w:rsidRPr="00000000">
              <w:rPr>
                <w:rtl w:val="0"/>
              </w:rPr>
            </w:r>
          </w:p>
          <w:p w:rsidR="00000000" w:rsidDel="00000000" w:rsidP="00000000" w:rsidRDefault="00000000" w:rsidRPr="00000000" w14:paraId="00000014">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4. Plan futuro de contingencia (Fase 3): </w:t>
            </w:r>
            <w:r w:rsidDel="00000000" w:rsidR="00000000" w:rsidRPr="00000000">
              <w:rPr>
                <w:rFonts w:ascii="Calibri" w:cs="Calibri" w:eastAsia="Calibri" w:hAnsi="Calibri"/>
                <w:color w:val="262626"/>
                <w:sz w:val="22"/>
                <w:szCs w:val="22"/>
                <w:rtl w:val="0"/>
              </w:rPr>
              <w:t xml:space="preserve">Planificamos ejecutar pruebas de carga y concurrencia con Locust y mantener auditoría continua mediante el registro inmutable (audit log) ya incorporado en el backend, blindando la plataforma ante la defensa final.</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Evalúo mi trabajo y desempeño en la Fase 2 en un nivel sobresaliente y altamente satisfactorio. He logrado articular de forma efectiva el rol de gestión y liderazgo técnico (Project Manager &amp; Tech Lead) con el desarrollo técnico fullstack, alcanzando un producto maduro, estable y alineado con los requerimientos de la asignatura APT-122.</w:t>
            </w:r>
            <w:r w:rsidDel="00000000" w:rsidR="00000000" w:rsidRPr="00000000">
              <w:rPr>
                <w:rtl w:val="0"/>
              </w:rPr>
            </w:r>
          </w:p>
          <w:p w:rsidR="00000000" w:rsidDel="00000000" w:rsidP="00000000" w:rsidRDefault="00000000" w:rsidRPr="00000000" w14:paraId="00000023">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Aspectos que destaco de mi trabajo: </w:t>
            </w:r>
            <w:r w:rsidDel="00000000" w:rsidR="00000000" w:rsidRPr="00000000">
              <w:rPr>
                <w:rFonts w:ascii="Calibri" w:cs="Calibri" w:eastAsia="Calibri" w:hAnsi="Calibri"/>
                <w:color w:val="262626"/>
                <w:sz w:val="22"/>
                <w:szCs w:val="22"/>
                <w:rtl w:val="0"/>
              </w:rPr>
              <w:t xml:space="preserve">1) Capacidad de resolución y diseño arquitectónico: Haber orquestado la integración integral de los tres subsistemas (FastAPI, React + Vite y React Native) bajo una arquitectura SaaS multi-inquilino segura con autenticación JWT y control de acceso basado en 4 roles (Superadmin, Administrador de Gimnasio, Entrenador y Atleta). 2) Liderazgo y clima de equipo: Mantener al equipo alineado, motivado y altamente comprometido con la excelencia académica y técnica, asegurando entregables de alto rigor como el DAS, el Diccionario de Datos normalizado y el plan de pruebas.</w:t>
            </w:r>
            <w:r w:rsidDel="00000000" w:rsidR="00000000" w:rsidRPr="00000000">
              <w:rPr>
                <w:rtl w:val="0"/>
              </w:rPr>
            </w:r>
          </w:p>
          <w:p w:rsidR="00000000" w:rsidDel="00000000" w:rsidP="00000000" w:rsidRDefault="00000000" w:rsidRPr="00000000" w14:paraId="00000024">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Oportunidades de mejora: </w:t>
            </w:r>
            <w:r w:rsidDel="00000000" w:rsidR="00000000" w:rsidRPr="00000000">
              <w:rPr>
                <w:rFonts w:ascii="Calibri" w:cs="Calibri" w:eastAsia="Calibri" w:hAnsi="Calibri"/>
                <w:color w:val="262626"/>
                <w:sz w:val="22"/>
                <w:szCs w:val="22"/>
                <w:rtl w:val="0"/>
              </w:rPr>
              <w:t xml:space="preserve">1) Delegación de tareas operativas: En ciertos momentos asumí ajustes menores de documentación y configuración que pudieron ser delegados oportunamente para concentrar mayor tiempo en la orquestación general. 2) Cobertura de pruebas automatizadas: Aunque la validación funcional manual y en Swagger UI es exhaustiva, me propongo elevar el porcentaje de cobertura de pruebas unitarias y de integración en pytest antes del examen de título.</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Al reflexionar sobre el avance hacia la Fase 3 (Cierre, Validación y Presentación de Portafolio), surgen reflexiones clave sobre la mejor manera de exhibir el valor del proyecto ante la comisión evaluadora:</w:t>
            </w:r>
            <w:r w:rsidDel="00000000" w:rsidR="00000000" w:rsidRPr="00000000">
              <w:rPr>
                <w:rtl w:val="0"/>
              </w:rPr>
            </w:r>
          </w:p>
          <w:p w:rsidR="00000000" w:rsidDel="00000000" w:rsidP="00000000" w:rsidRDefault="00000000" w:rsidRPr="00000000" w14:paraId="0000002A">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Inquietudes sobre cómo proceder: </w:t>
            </w:r>
            <w:r w:rsidDel="00000000" w:rsidR="00000000" w:rsidRPr="00000000">
              <w:rPr>
                <w:rFonts w:ascii="Calibri" w:cs="Calibri" w:eastAsia="Calibri" w:hAnsi="Calibri"/>
                <w:color w:val="262626"/>
                <w:sz w:val="22"/>
                <w:szCs w:val="22"/>
                <w:rtl w:val="0"/>
              </w:rPr>
              <w:t xml:space="preserve">1) Cuál es la estrategia más adecuada para la demostración del motor analítico ACWR durante la defensa oral: si basarse en un conjunto de datos sintéticos representativos que simulen meses de historial de atletas o enfocarse en el comportamiento en tiempo real de una sesión recién registrada. 2) Cómo coordinar en el tiempo limitado de la presentación la interacción simultánea entre el panel web del entrenador y la app móvil del atleta sin restar fluidez al discurso.</w:t>
            </w:r>
            <w:r w:rsidDel="00000000" w:rsidR="00000000" w:rsidRPr="00000000">
              <w:rPr>
                <w:rtl w:val="0"/>
              </w:rPr>
            </w:r>
          </w:p>
          <w:p w:rsidR="00000000" w:rsidDel="00000000" w:rsidP="00000000" w:rsidRDefault="00000000" w:rsidRPr="00000000" w14:paraId="0000002B">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Pregunta para el docente guía: </w:t>
            </w:r>
            <w:r w:rsidDel="00000000" w:rsidR="00000000" w:rsidRPr="00000000">
              <w:rPr>
                <w:rFonts w:ascii="Calibri" w:cs="Calibri" w:eastAsia="Calibri" w:hAnsi="Calibri"/>
                <w:color w:val="262626"/>
                <w:sz w:val="22"/>
                <w:szCs w:val="22"/>
                <w:rtl w:val="0"/>
              </w:rPr>
              <w:t xml:space="preserve">'Estimado profesor: Considerando que NovaFit Analytics Suite cuenta con sus tres componentes (Web, Móvil y Backend SaaS multi-tenant) completamente operativos y desplegados en producción con integraciones activas: ¿Qué enfoque metodológico considera más determinante priorizar durante la defensa oral final: evidenciar las métricas de carga concurrente y resiliencia de la arquitectura en la nube, o realizar un recorrido funcional centrado en el impacto de negocio y la experiencia de usuario del entrenador y atleta?'</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Respuesta: </w:t>
            </w:r>
            <w:r w:rsidDel="00000000" w:rsidR="00000000" w:rsidRPr="00000000">
              <w:rPr>
                <w:rFonts w:ascii="Calibri" w:cs="Calibri" w:eastAsia="Calibri" w:hAnsi="Calibri"/>
                <w:color w:val="262626"/>
                <w:sz w:val="22"/>
                <w:szCs w:val="22"/>
                <w:rtl w:val="0"/>
              </w:rPr>
              <w:t xml:space="preserve">A partir de esta instancia de monitoreo formal, consideramos que la distribución de responsabilidades ha sido sumamente equitativa y eficiente. La estructura establecida en la Matriz RACI permitió que cada integrante explotara sus mejores competencias técnicas, por lo cual no se requiere una redistribución de las actividades ya asignadas.</w:t>
            </w:r>
            <w:r w:rsidDel="00000000" w:rsidR="00000000" w:rsidRPr="00000000">
              <w:rPr>
                <w:rtl w:val="0"/>
              </w:rPr>
            </w:r>
          </w:p>
          <w:p w:rsidR="00000000" w:rsidDel="00000000" w:rsidP="00000000" w:rsidRDefault="00000000" w:rsidRPr="00000000" w14:paraId="00000031">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Nuevas actividades asignadas para la Fase 3 (Cierre y Validación): </w:t>
            </w:r>
            <w:r w:rsidDel="00000000" w:rsidR="00000000" w:rsidRPr="00000000">
              <w:rPr>
                <w:rFonts w:ascii="Calibri" w:cs="Calibri" w:eastAsia="Calibri" w:hAnsi="Calibri"/>
                <w:color w:val="262626"/>
                <w:sz w:val="22"/>
                <w:szCs w:val="22"/>
                <w:rtl w:val="0"/>
              </w:rPr>
              <w:t xml:space="preserve">Para abordar con éxito la fase final de titulación, hemos acordado las siguientes nuevas responsabilidades específicas:</w:t>
            </w:r>
            <w:r w:rsidDel="00000000" w:rsidR="00000000" w:rsidRPr="00000000">
              <w:rPr>
                <w:rtl w:val="0"/>
              </w:rPr>
            </w:r>
          </w:p>
          <w:p w:rsidR="00000000" w:rsidDel="00000000" w:rsidP="00000000" w:rsidRDefault="00000000" w:rsidRPr="00000000" w14:paraId="00000032">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1. Felipe Romero Díaz (Project Manager &amp; Tech Lead): </w:t>
            </w:r>
            <w:r w:rsidDel="00000000" w:rsidR="00000000" w:rsidRPr="00000000">
              <w:rPr>
                <w:rFonts w:ascii="Calibri" w:cs="Calibri" w:eastAsia="Calibri" w:hAnsi="Calibri"/>
                <w:color w:val="262626"/>
                <w:sz w:val="22"/>
                <w:szCs w:val="22"/>
                <w:rtl w:val="0"/>
              </w:rPr>
              <w:t xml:space="preserve">Coordinación general y redacción de la memoria final de portafolio, diseño de las diapositivas ejecutivas y orquestación técnica del guion de defensa en vivo.</w:t>
            </w:r>
            <w:r w:rsidDel="00000000" w:rsidR="00000000" w:rsidRPr="00000000">
              <w:rPr>
                <w:rtl w:val="0"/>
              </w:rPr>
            </w:r>
          </w:p>
          <w:p w:rsidR="00000000" w:rsidDel="00000000" w:rsidP="00000000" w:rsidRDefault="00000000" w:rsidRPr="00000000" w14:paraId="00000033">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2. Vicente Gilbert Espinosa (Backend Developer): </w:t>
            </w:r>
            <w:r w:rsidDel="00000000" w:rsidR="00000000" w:rsidRPr="00000000">
              <w:rPr>
                <w:rFonts w:ascii="Calibri" w:cs="Calibri" w:eastAsia="Calibri" w:hAnsi="Calibri"/>
                <w:color w:val="262626"/>
                <w:sz w:val="22"/>
                <w:szCs w:val="22"/>
                <w:rtl w:val="0"/>
              </w:rPr>
              <w:t xml:space="preserve">Ejecución de pruebas de estrés y concurrencia con Locust sobre los endpoints analíticos, y optimización de la generación de reportes masivos en formato PDF para gimnasios.</w:t>
            </w:r>
            <w:r w:rsidDel="00000000" w:rsidR="00000000" w:rsidRPr="00000000">
              <w:rPr>
                <w:rtl w:val="0"/>
              </w:rPr>
            </w:r>
          </w:p>
          <w:p w:rsidR="00000000" w:rsidDel="00000000" w:rsidP="00000000" w:rsidRDefault="00000000" w:rsidRPr="00000000" w14:paraId="00000034">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3. Antonio Maturana (Frontend &amp; Mobile Developer): </w:t>
            </w:r>
            <w:r w:rsidDel="00000000" w:rsidR="00000000" w:rsidRPr="00000000">
              <w:rPr>
                <w:rFonts w:ascii="Calibri" w:cs="Calibri" w:eastAsia="Calibri" w:hAnsi="Calibri"/>
                <w:color w:val="262626"/>
                <w:sz w:val="22"/>
                <w:szCs w:val="22"/>
                <w:rtl w:val="0"/>
              </w:rPr>
              <w:t xml:space="preserve">Generación del paquete APK de producción final firmado mediante EAS Build, realización de pruebas de usabilidad con atletas en sala de entrenamiento y afinamiento de transiciones hápticas.</w:t>
            </w:r>
            <w:r w:rsidDel="00000000" w:rsidR="00000000" w:rsidRPr="00000000">
              <w:rPr>
                <w:rtl w:val="0"/>
              </w:rPr>
            </w:r>
          </w:p>
          <w:p w:rsidR="00000000" w:rsidDel="00000000" w:rsidP="00000000" w:rsidRDefault="00000000" w:rsidRPr="00000000" w14:paraId="00000035">
            <w:pPr>
              <w:spacing w:after="120" w:before="120" w:line="276" w:lineRule="auto"/>
              <w:jc w:val="both"/>
              <w:rPr>
                <w:color w:val="767171"/>
                <w:sz w:val="24"/>
                <w:szCs w:val="24"/>
              </w:rPr>
            </w:pPr>
            <w:r w:rsidDel="00000000" w:rsidR="00000000" w:rsidRPr="00000000">
              <w:rPr>
                <w:rFonts w:ascii="Calibri" w:cs="Calibri" w:eastAsia="Calibri" w:hAnsi="Calibri"/>
                <w:b w:val="1"/>
                <w:bCs w:val="1"/>
                <w:color w:val="1f4e79"/>
                <w:sz w:val="22"/>
                <w:szCs w:val="22"/>
                <w:rtl w:val="0"/>
              </w:rPr>
              <w:t xml:space="preserve">4. Yulian Silva (DBA &amp; Arquitecto de Datos): </w:t>
            </w:r>
            <w:r w:rsidDel="00000000" w:rsidR="00000000" w:rsidRPr="00000000">
              <w:rPr>
                <w:rFonts w:ascii="Calibri" w:cs="Calibri" w:eastAsia="Calibri" w:hAnsi="Calibri"/>
                <w:color w:val="262626"/>
                <w:sz w:val="22"/>
                <w:szCs w:val="22"/>
                <w:rtl w:val="0"/>
              </w:rPr>
              <w:t xml:space="preserve">Implementación de procedimientos de respaldo automatizado (pg_dump y snapshots en la nube), auditoría de integridad relacional y cierre formal del Diccionario de Datos.</w:t>
              <w:br w:type="textWrapping"/>
              <w:br w:type="textWrapping"/>
            </w: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spacing w:after="120" w:before="120" w:line="276" w:lineRule="auto"/>
              <w:jc w:val="both"/>
              <w:rPr/>
            </w:pPr>
            <w:r w:rsidDel="00000000" w:rsidR="00000000" w:rsidRPr="00000000">
              <w:rPr>
                <w:b w:val="1"/>
                <w:bCs w:val="1"/>
                <w:color w:val="1f4e79"/>
                <w:rtl w:val="0"/>
              </w:rPr>
              <w:t xml:space="preserve">Respuesta: </w:t>
            </w:r>
            <w:r w:rsidDel="00000000" w:rsidR="00000000" w:rsidRPr="00000000">
              <w:rPr>
                <w:color w:val="262626"/>
                <w:rtl w:val="0"/>
              </w:rPr>
              <w:t xml:space="preserve">Evaluamos el desempeño del Grupo 4 como sobresaliente. Hemos operado con los estándares, la disciplina y el compromiso de un equipo profesional de desarrollo de software, logrando materializar con éxito una plataforma completa de nivel empresarial en los plazos previstos.</w:t>
            </w:r>
            <w:r w:rsidDel="00000000" w:rsidR="00000000" w:rsidRPr="00000000">
              <w:rPr>
                <w:rtl w:val="0"/>
              </w:rPr>
            </w:r>
          </w:p>
          <w:p w:rsidR="00000000" w:rsidDel="00000000" w:rsidP="00000000" w:rsidRDefault="00000000" w:rsidRPr="00000000" w14:paraId="00000037">
            <w:pPr>
              <w:spacing w:after="120" w:before="120" w:line="276" w:lineRule="auto"/>
              <w:jc w:val="both"/>
              <w:rPr/>
            </w:pPr>
            <w:r w:rsidDel="00000000" w:rsidR="00000000" w:rsidRPr="00000000">
              <w:rPr>
                <w:b w:val="1"/>
                <w:bCs w:val="1"/>
                <w:color w:val="1f4e79"/>
                <w:rtl w:val="0"/>
              </w:rPr>
              <w:t xml:space="preserve">Aspectos positivos que destacamos: </w:t>
            </w:r>
            <w:r w:rsidDel="00000000" w:rsidR="00000000" w:rsidRPr="00000000">
              <w:rPr>
                <w:color w:val="262626"/>
                <w:rtl w:val="0"/>
              </w:rPr>
              <w:t xml:space="preserve">1) Autonomía y sentido de pertenencia: Cada integrante asumió el liderazgo integral de su componente (Base de Datos, Backend API, Aplicación Móvil y Panel Web) con proactividad y sin necesidad de supervisión jerárquica constante. 2) Comunicación transparente y constructiva: Los debates técnicos y decisiones de diseño se resolvieron siempre mediante argumentación fundamentada, pruebas de concepto ágiles y un ambiente de respeto mutuo. 3) Rigor metodológico: La seriedad en la elaboración de cada artefacto técnico (DAS, Matriz de Control de Cambios, Matriz de Riesgos y Minutas de reunión) da cuenta de una formación sólida y alineada con el perfil de egreso de Duoc UC.</w:t>
            </w:r>
            <w:r w:rsidDel="00000000" w:rsidR="00000000" w:rsidRPr="00000000">
              <w:rPr>
                <w:rtl w:val="0"/>
              </w:rPr>
            </w:r>
          </w:p>
          <w:p w:rsidR="00000000" w:rsidDel="00000000" w:rsidP="00000000" w:rsidRDefault="00000000" w:rsidRPr="00000000" w14:paraId="00000038">
            <w:pPr>
              <w:spacing w:after="120" w:before="120" w:line="276" w:lineRule="auto"/>
              <w:jc w:val="both"/>
              <w:rPr>
                <w:color w:val="262626"/>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6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54m05o6ec9cy" w:id="0"/>
            <w:bookmarkEnd w:id="0"/>
            <w:r w:rsidDel="00000000" w:rsidR="00000000" w:rsidRPr="00000000">
              <w:rPr>
                <w:sz w:val="24"/>
                <w:szCs w:val="24"/>
                <w:rtl w:val="0"/>
              </w:rPr>
              <w:t xml:space="preserve">6. APT  grupal</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3C">
            <w:pPr>
              <w:spacing w:after="120" w:before="12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Aspectos que podríamos mejorar: </w:t>
            </w:r>
            <w:r w:rsidDel="00000000" w:rsidR="00000000" w:rsidRPr="00000000">
              <w:rPr>
                <w:rFonts w:ascii="Calibri" w:cs="Calibri" w:eastAsia="Calibri" w:hAnsi="Calibri"/>
                <w:color w:val="262626"/>
                <w:sz w:val="22"/>
                <w:szCs w:val="22"/>
                <w:rtl w:val="0"/>
              </w:rPr>
              <w:t xml:space="preserve">1) Mayor formalización de revisiones cruzadas de código (Peer Code Reviews) en las solicitudes de extracción (Pull Requests) de GitHub para estandarizar convenciones de estilo entre repositorios. 2) Realizar simulacros previos de la presentación oral grupal con cronómetro en mano para sincronizar los tiempos individuales de intervención y garantizar transiciones impecables ante la comisión examinadora.</w:t>
            </w: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O8H5iVWBDjJpawnbb+BTKhBmw==">CgMxLjAyDmguNTRtMDVvNmVjOWN5OAByITFYVThzR0otdTNrbkh6azRCOGxYcC1NVXFjVlB3UmRESg==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