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262626"/>
              </w:rPr>
            </w:pPr>
            <w:r w:rsidDel="00000000" w:rsidR="00000000" w:rsidRPr="00000000">
              <w:rPr>
                <w:b w:val="1"/>
                <w:bCs w:val="1"/>
                <w:color w:val="262626"/>
                <w:rtl w:val="0"/>
              </w:rPr>
              <w:t xml:space="preserve">Confirmo que hemos cumplido satisfactoriamente con el 100% de las actividades de desarrollo backend programadas, la API REST en FastAPI se encuentra plenamente operativa, desplegada en producción en Render y conectada tanto con la base de datos. Se cumplieron con éxito los 16 casos de prueba del Plan de Pruebas de Software, cubriendo la autenticación multi-rol, persistencia transaccional, facturación automatizada y el motor de fatiga ACWR.</w:t>
            </w: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b w:val="1"/>
                <w:bCs w:val="1"/>
                <w:color w:val="262626"/>
                <w:rtl w:val="0"/>
              </w:rPr>
              <w:t xml:space="preserve">Las dificultades técnicas presentadas durante la construcción del backend fueron mitigadas de manera metódica a través de la Matriz de Gestión de Riesgos (RSG-01 a RSG-12) y la Matriz de Control de Cambios</w:t>
            </w:r>
            <w:r w:rsidDel="00000000" w:rsidR="00000000" w:rsidRPr="00000000">
              <w:rPr>
                <w:b w:val="1"/>
                <w:bCs w:val="1"/>
                <w:color w:val="1f4e79"/>
                <w:rtl w:val="0"/>
              </w:rPr>
              <w:t xml:space="preserve">.</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262626"/>
                <w:rtl w:val="0"/>
              </w:rPr>
              <w:t xml:space="preserve">Evalúo mi trabajo y desempeño en la Fase 2 de manera muy positiva y altamente satisfactoria. Al reflexionar sobre la Fase 1, donde identifiqué como principales áreas por fortalecer la arquitectura de software, la seguridad y la gestión de proyectos, en esta fase pude asumir con éxito el liderazgo del backend, traduciendo requerimientos de negocio en servicios robustos, escalables y con estándares de calidad.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262626"/>
              </w:rPr>
            </w:pPr>
            <w:r w:rsidDel="00000000" w:rsidR="00000000" w:rsidRPr="00000000">
              <w:rPr>
                <w:b w:val="1"/>
                <w:bCs w:val="1"/>
                <w:color w:val="262626"/>
                <w:rtl w:val="0"/>
              </w:rPr>
              <w:t xml:space="preserve">Cuál es el mejor método para realizar pruebas de carga y estrés concurrente en entornos cloud gratuitos sin disparar límites de cuota que puedan comprometer la disponibilidad del sistema durante la evaluación.</w:t>
            </w:r>
          </w:p>
          <w:p w:rsidR="00000000" w:rsidDel="00000000" w:rsidP="00000000" w:rsidRDefault="00000000" w:rsidRPr="00000000" w14:paraId="0000002B">
            <w:pPr>
              <w:jc w:val="both"/>
              <w:rPr>
                <w:b w:val="1"/>
                <w:bCs w:val="1"/>
                <w:color w:val="262626"/>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spacing w:after="120" w:before="120" w:line="276" w:lineRule="auto"/>
              <w:jc w:val="both"/>
              <w:rPr>
                <w:color w:val="767171"/>
                <w:sz w:val="24"/>
                <w:szCs w:val="24"/>
              </w:rPr>
            </w:pPr>
            <w:r w:rsidDel="00000000" w:rsidR="00000000" w:rsidRPr="00000000">
              <w:rPr>
                <w:color w:val="262626"/>
                <w:sz w:val="24"/>
                <w:szCs w:val="24"/>
                <w:rtl w:val="0"/>
              </w:rPr>
              <w:t xml:space="preserve">A partir del monitoreo y cierre del sprint de la Fase 2, consideramos que la distribución de trabajo ha sido muy equilibrada y efectiva. La delimitación de tareas en la Matriz RACI permitió que cada integrante explotara sus fortalezas técnicas sin superposición de esfuerzos, por lo cual no se requiere una redistribución de las responsabilidades principales ya consolidadas.</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95qvrzmscewz"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262626"/>
                <w:rtl w:val="0"/>
              </w:rPr>
              <w:t xml:space="preserve">Evaluamos el desempeño del Grupo 4 de manera sobresaliente. Hemos operado con la disciplina, la responsabilidad y el compromiso de un equipo profesional de ingeniería de software, logrando materializar con éxito una plataforma completa de nivel empresarial en estricta conformidad con los plazos y requerimientos de la asignatura.</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Q8wvQgSOz43OptiVpUswP50w==">CgMxLjAyDmguOTVxdnJ6bXNjZXd6OAByITE4YjAyMUhYN0xiNF9wLVBUSkRDam93MEM1WTZtZVBzTg==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