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00"/>
        <w:jc w:val="left"/>
      </w:pPr>
      <w:r>
        <w:rPr>
          <w:rFonts w:ascii="Calibri" w:hAnsi="Calibri"/>
          <w:b w:val="0"/>
          <w:color w:val="142B43"/>
          <w:sz w:val="21"/>
        </w:rPr>
        <w:t>Control de edición</w:t>
      </w:r>
    </w:p>
    <w:p>
      <w:pPr>
        <w:spacing w:after="100"/>
        <w:jc w:val="left"/>
      </w:pPr>
      <w:r>
        <w:rPr>
          <w:rFonts w:ascii="Calibri" w:hAnsi="Calibri"/>
          <w:b w:val="0"/>
          <w:color w:val="142B43"/>
          <w:sz w:val="21"/>
        </w:rPr>
        <w:t>Edición documental corregida, 29-10-2026. Base de revisión: commit d86a6b6. Las comprobaciones de código son estáticas. Los resultados operativos, la aceptación y las aprobaciones requieren sus evidencias de ejecución.</w:t>
      </w:r>
    </w:p>
    <w:p w14:paraId="4C2CA7B3" w14:textId="77777777" w:rsidR="0003309E" w:rsidRDefault="0003309E" w:rsidP="0003309E">
      <w:pPr>
        <w:spacing w:after="100"/>
        <w:jc w:val="left"/>
      </w:pPr>
    </w:p>
    <w:p w14:paraId="682A4F9F" w14:textId="77777777" w:rsidR="0003309E" w:rsidRDefault="0003309E" w:rsidP="0003309E">
      <w:pPr>
        <w:spacing w:after="100"/>
        <w:jc w:val="left"/>
        <w:rPr>
          <w:b/>
        </w:rPr>
      </w:pPr>
      <w:r>
        <w:rPr>
          <w:rFonts w:ascii="Calibri" w:hAnsi="Calibri"/>
          <w:b w:val="0"/>
          <w:noProof/>
          <w:color w:val="142B43"/>
          <w:sz w:val="21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8FB98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B78E32B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7AFA04B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7A18FB98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B78E32B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57AFA04B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A3D7F8C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52F034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CD5ECA1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5E3D25A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00995D1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AC56BEF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2112996F" w14:textId="77777777" w:rsidTr="00C5122E">
        <w:trPr/>
        <w:tc>
          <w:tcPr>
            <w:tcW w:w="9639" w:type="dxa"/>
            <w:vAlign w:val="center"/>
          </w:tcPr>
          <w:p w14:paraId="32CA9714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29B5A400" w14:textId="77777777" w:rsidTr="00C5122E">
        <w:trPr/>
        <w:tc>
          <w:tcPr>
            <w:tcW w:w="9639" w:type="dxa"/>
            <w:shd w:val="clear" w:color="auto" w:fill="D9E2F3" w:themeFill="accent1" w:themeFillTint="33"/>
            <w:vAlign w:val="center"/>
          </w:tcPr>
          <w:p w14:paraId="6194EF85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38614FF2" w14:textId="77777777" w:rsidR="0003309E" w:rsidRDefault="0003309E" w:rsidP="0003309E">
      <w:pPr>
        <w:spacing w:after="100" w:line="240" w:lineRule="auto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844B662" w14:textId="77777777" w:rsidR="0003309E" w:rsidRDefault="0003309E" w:rsidP="0003309E">
      <w:pPr>
        <w:spacing w:after="100" w:line="240" w:lineRule="auto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1601BAD6" w14:textId="77777777" w:rsidTr="000A1331">
        <w:tc>
          <w:tcPr>
            <w:tcW w:w="2528" w:type="dxa"/>
            <w:vAlign w:val="center"/>
          </w:tcPr>
          <w:p w14:paraId="4F157B4F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62857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Resumen del ciclo de construcción (07-09 al 11-10-2026; cierre reportado 12-10-2026).</w:t>
            </w:r>
          </w:p>
          <w:p w14:paraId="062857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Panel administrativo multisucursal, administración de usuarios y membresías, facturación y conciliación de pagos, planificación de rutinas y sesiones, aplicación móvil para registrar entrenamiento y analítica de carga. Se excluyen torniquetes, wearables y diagnóstico médico. La disponibilidad real de cada capacidad debe demostrarse mediante pruebas y aceptación.</w:t>
            </w:r>
          </w:p>
          <w:p w14:paraId="062857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El snapshot schema.sql contiene 33 tablas: 32 funcionales y alembic_version, de control técnico. El código ORM representa las 32 tablas funcionales. El inventario describe los archivos entregados y no certifica el esquema instalado en producción.</w:t>
            </w:r>
          </w:p>
          <w:p w14:paraId="062857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El ZIP aporta implementación de API, web y móvil, integración de pagos y mensajería. La revisión de archivos no acredita disponibilidad en producción ni finalización total.</w:t>
            </w:r>
          </w:p>
          <w:p w14:paraId="062857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La carga implementada suma peso_kg × repeticiones de las series válidas, excluyendo calentamiento. La carga aguda acumula 7 días y la crónica acumula 28 días. El promedio crónico semanal divide el volumen de 28 días por min(4, días de historial / 7). ACWR = volumen de 7 días / promedio crónico semanal. Con menos de 7 días se aplica la inicialización prevista en el servicio y pueden consultarse registros históricos; con denominador cero no se obtiene un ratio numérico. El RPE interviene por separado en el puntaje compuesto de fatiga, no multiplica el volumen del ACWR.</w:t>
            </w:r>
          </w:p>
          <w:p w14:paraId="062857E6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El endpoint implementado es /api/v1/webhooks/mercadopago. La verificación de firma depende de recibir todos los encabezados y el identificador requeridos; la rama sin esos datos continúa el procesamiento. Por tanto, la verificación obligatoria y el rechazo de solicitudes sin firma son requisitos pendientes de corrección y prueba, no garantías acreditadas.</w:t>
            </w:r>
          </w:p>
          <w:p w14:paraId="062857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El cierre original reportó 16 casos aprobados. El repositorio revisado no contiene el plan ejecutado ni sus resultados por caso. El ZIP incluye una función de prueba de integración de entrenamiento; su presencia no acredita su ejecución. Plan_Pruebas_y_Evidencias.xlsx propone 16 casos nuevos, todos pendientes de ejecución, y no reconstruye ni certifica el plan histórico.</w:t>
            </w:r>
          </w:p>
        </w:tc>
      </w:tr>
      <w:tr w:rsidR="0003309E" w14:paraId="225609DB" w14:textId="77777777" w:rsidTr="000A1331">
        <w:trPr/>
        <w:tc>
          <w:tcPr>
            <w:tcW w:w="2528" w:type="dxa"/>
            <w:vAlign w:val="center"/>
          </w:tcPr>
          <w:p w14:paraId="5B69729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75D01CF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Objetivo: diseñar y construir una solución web/móvil para centralizar la gestión de gimnasios, digitalizar el entrenamiento y apoyar el seguimiento de carga. El cambio de escritorio a web/móvil corresponde a SC-01 del 18-08-2026, durante Fase 1. Las metas de negocio del acta son propuestas para validar en un piloto, no resultados de Fase 2.</w:t>
            </w:r>
          </w:p>
        </w:tc>
      </w:tr>
      <w:tr w:rsidR="0003309E" w14:paraId="349A08AA" w14:textId="77777777" w:rsidTr="000A1331">
        <w:trPr/>
        <w:tc>
          <w:tcPr>
            <w:tcW w:w="2528" w:type="dxa"/>
            <w:vAlign w:val="center"/>
          </w:tcPr>
          <w:p w14:paraId="59C4DCD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70590C7A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La documentación describe un ciclo de construcción de cinco semanas, con revisiones periódicas y reuniones APT-04, APT-05 y APT-06. Se emplean prácticas ágiles y distribución RACI. No se equipara el ciclo completo a un sprint formal ni se certifican ceremonias sin sus registros.</w:t>
            </w:r>
          </w:p>
          <w:p w14:paraId="70590C7A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La matriz original contiene cuatro cambios con datos: SC-01, paso de escritorio a web/móvil (18-08-2026); SC-02, Carta Gantt (25-08-2026); SC-03, honorarios de $12.500.000 CLP (06-09-2026); SC-04, roles (06-09-2026). Su estado «Aceptado» fue inferido en las notas originales, por lo que requiere ratificación documental. SC-05 (Zoho) y SC-06 (ACWR) se proponen para regularizar lo relatado en APT-05; no se consideran aprobados.</w:t>
            </w:r>
          </w:p>
          <w:p w14:paraId="70590C7A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La matriz registra 12 riesgos y seis severidades altas; las mitigaciones declaradas requieren verificar su eficacia.</w:t>
            </w:r>
          </w:p>
        </w:tc>
      </w:tr>
      <w:tr w:rsidR="0003309E" w14:paraId="527D1B7C" w14:textId="77777777" w:rsidTr="000A1331">
        <w:trPr/>
        <w:tc>
          <w:tcPr>
            <w:tcW w:w="2528" w:type="dxa"/>
            <w:vAlign w:val="center"/>
          </w:tcPr>
          <w:p w14:paraId="144B34D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43790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Evidencias disponibles: ZIP del código fuente, snapshot SQL, diagrama relacional, DAS, diccionario, procesos, matrices y minutas. Las URL de despliegue son referencias del proyecto.</w:t>
            </w:r>
          </w:p>
          <w:p w14:paraId="243790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El cierre original reportó 16 casos aprobados. El repositorio revisado no contiene el plan ejecutado ni sus resultados por caso. El ZIP incluye una función de prueba de integración de entrenamiento; su presencia no acredita su ejecución. Plan_Pruebas_y_Evidencias.xlsx propone 16 casos nuevos, todos pendientes de ejecución, y no reconstruye ni certifica el plan histórico.</w:t>
            </w:r>
          </w:p>
          <w:p w14:paraId="243790E6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Antes de certificar la entrega: adjuntar ejecución de pruebas, APK y datos de compilación, evidencia de restauración, aceptación de usuarios, mediciones de rendimiento y aprobación comercial. También quedan por validar la integración WhatsApp y el alcance de sueño/hidratación para Fase 3.</w:t>
            </w:r>
          </w:p>
          <w:p w14:paraId="243790E6" w14:textId="77777777" w:rsidR="0008340C" w:rsidRDefault="00000000">
            <w:pPr>
              <w:spacing w:before="60" w:after="10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Las copias corregidas y el nuevo flujo de caja se identifican en correcciones/README.md.</w:t>
            </w:r>
          </w:p>
        </w:tc>
      </w:tr>
    </w:tbl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6616FF22" w14:textId="77777777" w:rsidTr="000A1331">
        <w:trPr/>
        <w:tc>
          <w:tcPr>
            <w:tcW w:w="9640" w:type="dxa"/>
            <w:vAlign w:val="center"/>
          </w:tcPr>
          <w:p w14:paraId="24943DE3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384C90A" w14:textId="77777777" w:rsidTr="000A1331">
        <w:trPr/>
        <w:tc>
          <w:tcPr>
            <w:tcW w:w="9640" w:type="dxa"/>
            <w:shd w:val="clear" w:color="auto" w:fill="D9E2F3" w:themeFill="accent1" w:themeFillTint="33"/>
            <w:vAlign w:val="center"/>
          </w:tcPr>
          <w:p w14:paraId="1B46BB1B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8212A06" w14:textId="77777777" w:rsidR="0003309E" w:rsidRDefault="0003309E" w:rsidP="0003309E">
      <w:pPr>
        <w:spacing w:after="100" w:line="240" w:lineRule="auto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3B84836A" w14:textId="77777777" w:rsidTr="00EA0C09">
        <w:trPr/>
        <w:tc>
          <w:tcPr>
            <w:tcW w:w="9776" w:type="dxa"/>
            <w:gridSpan w:val="8"/>
            <w:vAlign w:val="center"/>
          </w:tcPr>
          <w:p w14:paraId="4B55F42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46F7F5A4" w14:textId="77777777" w:rsidTr="009552E5">
        <w:trPr/>
        <w:tc>
          <w:tcPr>
            <w:tcW w:w="1328" w:type="dxa"/>
            <w:vAlign w:val="center"/>
          </w:tcPr>
          <w:p w14:paraId="65B24E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0468383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2D40548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17F725F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7F776E2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23C9EC0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471310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5573650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08340C" w14:paraId="57FCA77C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31977995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Gestión y Administración de Proyectos Informáticos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1B201D47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DAS corregido y procesos de negocio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3A0FDF98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Visual Paradigm, Draw.io, Plantillas IEEE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0E01A9E8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2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0DFDB08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Felipe Romero / Vicente Gilbert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6E2B31F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Modelo de vistas 4+1 y API modular en tres capas.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1FE97C8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Documento corregido; revisión del equipo pendiente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2F11C699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Adaptación de arquitectura a Web/Móvil (SC-01)</w:t>
            </w:r>
          </w:p>
        </w:tc>
      </w:tr>
      <w:tr w:rsidR="0008340C" w14:paraId="0B3239BB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12B219F7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Gestión de Bases de Datos y Seguridad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59ACB02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Modelado relacional 3FN y migraciones Alembic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2E6AE0FF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PostgreSQL (versión de servidor por verificar), Supabase, Alembic, DBeaver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546653C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3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08A69D65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Yulian Silva / Vicente Gilbert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AF0E30F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Integridad referencial y ON DELETE RESTRICT en tablas contables.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0643BF92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Snapshot contrastado; restauración pendiente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0190719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Índices compuestos para cálculo ACWR (RSG-01)</w:t>
            </w:r>
          </w:p>
        </w:tc>
      </w:tr>
      <w:tr w:rsidR="0008340C" w14:paraId="5B296719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20DD60ED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Desarrollo y Construcción de Software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7DC1B18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Backend API REST, JWT y Multi-tenancy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02084E00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Python 3.11, FastAPI, Pydantic, Bcrypt, Render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13A50728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4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3D104301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Vicente Gilbert / Felipe Romero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33E7540E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FastAPI permitió validación estricta y generación Swagger viva.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C907CFE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Código disponible; seguridad y aislamiento pendientes de prueba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E18094B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Aislamiento de sucursales forzoso por branch_id</w:t>
            </w:r>
          </w:p>
        </w:tc>
      </w:tr>
      <w:tr w:rsidR="0008340C" w14:paraId="42A5C54E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E6516A7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Desarrollo y Construcción de Software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722E613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Integración pasarela Mercado Pago y Webhooks IPN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0E145D6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Mercado Pago SDK, Ngrok, PostgreSQL, Render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1D4101E7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2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1F2C89E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Vicente Gilbert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3A073D1A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Dificultad por reintentos de webhooks; mitigado con idempotencia.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2BFD0E8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Código disponible; firma obligatoria pendiente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3BE328A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Acreditación atómica automática de membresías</w:t>
            </w:r>
          </w:p>
        </w:tc>
      </w:tr>
      <w:tr w:rsidR="0008340C" w14:paraId="4E0A3658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C8F0DC3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Desarrollo y Construcción de Software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70FD62B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Motor Analítico ACWR y Notificaciones Zoho Mail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59811DA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FastAPI, Zoho Mail REST API, OAuth2, SQLAlchemy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5F1B70D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3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5086C47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Vicente Gilbert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3F2EB1B1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Bloqueo de puertos SMTP en Render resuelto migrando a REST API.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D639B3B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Algoritmo documentado; ejecución y entregas pendientes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1470EA8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Regularización Zoho en SC-05 propuesta, pendiente de aprobación.</w:t>
            </w:r>
          </w:p>
        </w:tc>
      </w:tr>
      <w:tr w:rsidR="0008340C" w14:paraId="4CE01037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8D3BCC9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lastRenderedPageBreak/>
              <w:t>Desarrollo y Construcción de Software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DFE5DA8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Frontend Web Administrativo en React + Vite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25BF2F0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React 19.2.8, Vite, Vanilla/Tailwind CSS, Axios, Vercel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2C83B33C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4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37FDAAA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Antonio Maturana / Felipe Romero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AF48BBD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Despliegue continuo en Vercel con alta reactividad visual.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2A1C5A6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Código disponible; aceptación pendiente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3285209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Flujo Enviar cobro al correo con un solo clic</w:t>
            </w:r>
          </w:p>
        </w:tc>
      </w:tr>
      <w:tr w:rsidR="0008340C" w14:paraId="623688C7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ADAEBDE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Desarrollo y Construcción de Software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B976DFA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App Móvil para Atletas en React Native / Expo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0B62F0DB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React Native, Expo SDK, EAS Build, Android APK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DBEBDA6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4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97E7D12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Antonio Maturana / Felipe Romero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1490E772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Caché y ServerWakeUp presentes; tiempo de carga sin medición adjunta.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160BB3F8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Código disponible; APK y mediciones pendientes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5A03E35F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Inclusión de componente ServerWakeUp (RSG-07)</w:t>
            </w:r>
          </w:p>
        </w:tc>
      </w:tr>
      <w:tr w:rsidR="0008340C" w14:paraId="1EF960E7" w14:textId="77777777"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12A2F41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Pruebas de Certificación de Productos y Procesos</w:t>
            </w:r>
          </w:p>
        </w:tc>
        <w:tc>
          <w:tcPr>
            <w:tcW w:w="10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2A63BF36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262626"/>
                <w:sz w:val="19"/>
                <w:szCs w:val="19"/>
              </w:rPr>
              <w:t>Ejecutar y documentar Plan_Pruebas_y_Evidencias.xlsx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4FAB31FD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Postman, Swagger, DBeaver, Dispositivos Android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5A999AA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5 semanas</w:t>
            </w:r>
          </w:p>
        </w:tc>
        <w:tc>
          <w:tcPr>
            <w:tcW w:w="127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0678F809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Steven San Martín / Felipe Romero</w:t>
            </w:r>
          </w:p>
        </w:tc>
        <w:tc>
          <w:tcPr>
            <w:tcW w:w="12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9D02CAF" w14:textId="77777777" w:rsidR="0008340C" w:rsidRDefault="00000000">
            <w:pPr>
              <w:spacing w:before="40" w:after="40" w:line="240" w:lineRule="auto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Cada caso debe registrar entorno, versión, datos, resultado y evidencia.</w:t>
            </w:r>
          </w:p>
        </w:tc>
        <w:tc>
          <w:tcPr>
            <w:tcW w:w="141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724F3759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b/>
                <w:bCs/>
                <w:color w:val="1F4E79"/>
                <w:sz w:val="19"/>
                <w:szCs w:val="19"/>
              </w:rPr>
              <w:t>Plan propuesto; sin ejecución adjunta</w:t>
            </w:r>
          </w:p>
        </w:tc>
        <w:tc>
          <w:tcPr>
            <w:tcW w:w="8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14:paraId="640B423F" w14:textId="77777777" w:rsidR="0008340C" w:rsidRDefault="00000000">
            <w:pPr>
              <w:spacing w:before="40" w:after="40" w:line="240" w:lineRule="auto"/>
              <w:jc w:val="center"/>
              <w:rPr>
                <w:rFonts w:ascii="Calibri" w:hAnsi="Calibri"/>
                <w:sz w:val="19"/>
                <w:szCs w:val="19"/>
              </w:rPr>
            </w:pPr>
            <w:r>
              <w:rPr>
                <w:rFonts w:ascii="Calibri" w:hAnsi="Calibri"/>
                <w:color w:val="262626"/>
                <w:sz w:val="19"/>
                <w:szCs w:val="19"/>
              </w:rPr>
              <w:t>Inclusión de pruebas de firma en Webhooks</w:t>
            </w:r>
          </w:p>
        </w:tc>
      </w:tr>
    </w:tbl>
    <w:p w14:paraId="6007349D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420AF79" w14:textId="77777777" w:rsidTr="00C5122E">
        <w:trPr/>
        <w:tc>
          <w:tcPr>
            <w:tcW w:w="9498" w:type="dxa"/>
            <w:vAlign w:val="center"/>
          </w:tcPr>
          <w:p w14:paraId="0F7A5BCE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5F377205" w14:textId="77777777" w:rsidTr="00C5122E">
        <w:trPr/>
        <w:tc>
          <w:tcPr>
            <w:tcW w:w="9498" w:type="dxa"/>
            <w:shd w:val="clear" w:color="auto" w:fill="D9E2F3" w:themeFill="accent1" w:themeFillTint="33"/>
            <w:vAlign w:val="center"/>
          </w:tcPr>
          <w:p w14:paraId="54F8934A" w14:textId="77777777" w:rsidR="0003309E" w:rsidRPr="00B27207" w:rsidRDefault="0003309E">
            <w:pPr>
              <w:pStyle w:val="Piedepgina"/>
              <w:spacing w:after="100"/>
              <w:jc w:val="left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6D1E187C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7B17A031" w14:textId="77777777" w:rsidTr="00C5122E">
        <w:trPr/>
        <w:tc>
          <w:tcPr>
            <w:tcW w:w="5000" w:type="pct"/>
            <w:vAlign w:val="center"/>
          </w:tcPr>
          <w:p w14:paraId="369E31C0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Facilitadores reportados: distribución RACI, contratos OpenAPI y coordinación técnica. Dificultades reportadas: correo SMTP, reintentos de pago, cómputo de carga y uso móvil. Las medidas implementadas se describen en el DAS corregido. Se retiran las afirmaciones de 99,9% de entrega, cálculo &lt;100 ms y GIF de 4 s a &lt;500 ms porque no se adjuntan mediciones comparables.</w:t>
            </w:r>
          </w:p>
          <w:p w14:paraId="369E31C0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El endpoint implementado es /api/v1/webhooks/mercadopago. La verificación de firma depende de recibir todos los encabezados y el identificador requeridos; la rama sin esos datos continúa el procesamiento. Por tanto, la verificación obligatoria y el rechazo de solicitudes sin firma son requisitos pendientes de corrección y prueba, no garantías acreditadas.</w:t>
            </w:r>
          </w:p>
        </w:tc>
      </w:tr>
    </w:tbl>
    <w:p w14:paraId="54696BDD" w14:textId="77777777" w:rsidR="0003309E" w:rsidRDefault="0003309E" w:rsidP="0003309E">
      <w:pPr>
        <w:spacing w:after="100"/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256A3A3B" w14:textId="77777777" w:rsidTr="00C5122E">
        <w:trPr/>
        <w:tc>
          <w:tcPr>
            <w:tcW w:w="5000" w:type="pct"/>
            <w:vAlign w:val="center"/>
          </w:tcPr>
          <w:p w14:paraId="6B5BE50F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La matriz original contiene cuatro cambios con datos: SC-01, paso de escritorio a web/móvil (18-08-2026); SC-02, Carta Gantt (25-08-2026); SC-03, honorarios de $12.500.000 CLP (06-09-2026); SC-04, roles (06-09-2026). Su estado «Aceptado» fue inferido en las notas originales, por lo que requiere ratificación documental. SC-05 (Zoho) y SC-06 (ACWR) se proponen para regularizar lo relatado en APT-05; no se consideran aprobados.</w:t>
            </w:r>
          </w:p>
        </w:tc>
      </w:tr>
    </w:tbl>
    <w:p w14:paraId="7748A719" w14:textId="77777777" w:rsidR="0003309E" w:rsidRDefault="0003309E" w:rsidP="0003309E">
      <w:pPr>
        <w:spacing w:after="100" w:line="240" w:lineRule="auto"/>
        <w:jc w:val="left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93F56BB" w14:textId="77777777" w:rsidR="00FD5149" w:rsidRPr="00CD38BD" w:rsidRDefault="00FD5149" w:rsidP="0003309E">
      <w:pPr>
        <w:spacing w:after="100" w:line="240" w:lineRule="auto"/>
        <w:jc w:val="left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62A17FB8" w14:textId="77777777" w:rsidTr="00C5122E">
        <w:trPr/>
        <w:tc>
          <w:tcPr>
            <w:tcW w:w="5000" w:type="pct"/>
            <w:vAlign w:val="center"/>
          </w:tcPr>
          <w:p w14:paraId="4DEF0618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b w:val="0"/>
                <w:color w:val="142B43"/>
                <w:sz w:val="21"/>
              </w:rPr>
              <w:t>Antes de certificar la entrega: adjuntar ejecución de pruebas, APK y datos de compilación, evidencia de restauración, aceptación de usuarios, mediciones de rendimiento y aprobación comercial. También quedan por validar la integración WhatsApp y el alcance de sueño/hidratación para Fase 3.</w:t>
            </w:r>
          </w:p>
          <w:p w14:paraId="4DEF0618" w14:textId="77777777" w:rsidR="0008340C" w:rsidRDefault="00000000">
            <w:pPr>
              <w:spacing w:before="0" w:after="60" w:line="240" w:lineRule="auto"/>
              <w:jc w:val="left"/>
              <w:rPr>
                <w:rFonts w:ascii="Calibri" w:hAnsi="Calibri"/>
                <w:sz w:val="21"/>
                <w:szCs w:val="21"/>
              </w:rPr>
            </w:pPr>
            <w:r>
              <w:rPr>
                <w:sz w:val="20"/>
              </w:rPr>
              <w:t>Fase 3: carga/estrés, UAT, manuales e implantación. Los hitos del Acta (15/11, 29/11 y 14/12 de 2026) son planificados; requieren conciliación con la Carta Gantt.</w:t>
            </w:r>
          </w:p>
        </w:tc>
      </w:tr>
    </w:tbl>
    <w:p w14:paraId="68AD8EB5" w14:textId="77777777" w:rsidR="0003309E" w:rsidRPr="0003309E" w:rsidRDefault="0003309E">
      <w:pPr>
        <w:spacing w:after="100"/>
        <w:jc w:val="left"/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3DDE0" w14:textId="77777777" w:rsidR="00D37774" w:rsidRDefault="00D37774" w:rsidP="0003309E">
      <w:pPr>
        <w:spacing w:after="0" w:line="240" w:lineRule="auto"/>
      </w:pPr>
      <w:r>
        <w:separator/>
      </w:r>
    </w:p>
  </w:endnote>
  <w:endnote w:type="continuationSeparator" w:id="0">
    <w:p w14:paraId="6FFADB5B" w14:textId="77777777" w:rsidR="00D37774" w:rsidRDefault="00D3777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2BC0B" w14:textId="77777777" w:rsidR="00D37774" w:rsidRDefault="00D37774" w:rsidP="0003309E">
      <w:pPr>
        <w:spacing w:after="0" w:line="240" w:lineRule="auto"/>
      </w:pPr>
      <w:r>
        <w:separator/>
      </w:r>
    </w:p>
  </w:footnote>
  <w:footnote w:type="continuationSeparator" w:id="0">
    <w:p w14:paraId="7660F158" w14:textId="77777777" w:rsidR="00D37774" w:rsidRDefault="00D37774" w:rsidP="0003309E">
      <w:pPr>
        <w:spacing w:after="0" w:line="240" w:lineRule="auto"/>
      </w:pPr>
      <w:r>
        <w:continuationSeparator/>
      </w:r>
    </w:p>
  </w:footnote>
  <w:footnote w:id="1">
    <w:p w14:paraId="1CF490B8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AE5D8EB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74F575A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9D6C3FB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F293513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EBF7FFF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3975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8340C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5E0100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57277"/>
    <w:rsid w:val="00B31361"/>
    <w:rsid w:val="00B4258F"/>
    <w:rsid w:val="00B8164D"/>
    <w:rsid w:val="00BE1024"/>
    <w:rsid w:val="00C20F3D"/>
    <w:rsid w:val="00C44557"/>
    <w:rsid w:val="00C5122E"/>
    <w:rsid w:val="00CE0AA8"/>
    <w:rsid w:val="00D37774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FEAC6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2151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VICENTE . GILBERT ESPINOSA</cp:lastModifiedBy>
  <cp:revision>1</cp:revision>
  <dcterms:created xsi:type="dcterms:W3CDTF">2022-08-24T18:14:00Z</dcterms:created>
  <dcterms:modified xsi:type="dcterms:W3CDTF">2026-10-27T01:09:00Z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