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00"/>
        <w:jc w:val="left"/>
      </w:pPr>
      <w:r>
        <w:rPr>
          <w:rFonts w:ascii="Calibri" w:hAnsi="Calibri"/>
          <w:b w:val="0"/>
          <w:color w:val="142B43"/>
          <w:sz w:val="21"/>
        </w:rPr>
        <w:t>Control de edición</w:t>
      </w:r>
    </w:p>
    <w:p>
      <w:pPr>
        <w:spacing w:after="100"/>
        <w:jc w:val="left"/>
      </w:pPr>
      <w:r>
        <w:rPr>
          <w:rFonts w:ascii="Calibri" w:hAnsi="Calibri"/>
          <w:b w:val="0"/>
          <w:color w:val="142B43"/>
          <w:sz w:val="21"/>
        </w:rPr>
        <w:t>Edición documental corregida, 29-10-2026. Base de revisión: commit d86a6b6. Las comprobaciones de código son estáticas. Los resultados operativos, la aceptación y las aprobaciones requieren sus evidencias de ejecución.</w:t>
      </w:r>
    </w:p>
    <w:p w14:paraId="24108819" w14:textId="77777777" w:rsidR="001202BF" w:rsidRDefault="001202BF" w:rsidP="001202BF">
      <w:pPr>
        <w:spacing w:after="100"/>
        <w:jc w:val="left"/>
      </w:pPr>
      <w:r>
        <w:rPr>
          <w:rFonts w:ascii="Calibri" w:hAnsi="Calibri"/>
          <w:b w:val="0"/>
          <w:noProof/>
          <w:color w:val="142B43"/>
          <w:sz w:val="21"/>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3F7D4383" w14:textId="77777777" w:rsidR="001202BF" w:rsidRDefault="001202BF" w:rsidP="001202BF">
                              <w:pPr>
                                <w:spacing w:after="0" w:line="240" w:lineRule="auto"/>
                                <w:rPr>
                                  <w:b/>
                                  <w:color w:val="FF0000"/>
                                  <w:sz w:val="48"/>
                                  <w:szCs w:val="48"/>
                                </w:rPr>
                              </w:pPr>
                            </w:p>
                            <w:p w14:paraId="4393D880" w14:textId="77777777"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19E56D29" w14:textId="77777777"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3F7D4383" w14:textId="77777777" w:rsidR="001202BF" w:rsidRDefault="001202BF" w:rsidP="001202BF">
                        <w:pPr>
                          <w:spacing w:after="0" w:line="240" w:lineRule="auto"/>
                          <w:rPr>
                            <w:b/>
                            <w:color w:val="FF0000"/>
                            <w:sz w:val="48"/>
                            <w:szCs w:val="48"/>
                          </w:rPr>
                        </w:pPr>
                      </w:p>
                      <w:p w14:paraId="4393D880" w14:textId="77777777"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19E56D29" w14:textId="77777777"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2941F5C2" w14:textId="77777777" w:rsidR="001202BF" w:rsidRDefault="001202BF" w:rsidP="001202BF">
      <w:pPr>
        <w:spacing w:after="100"/>
        <w:jc w:val="left"/>
      </w:pPr>
    </w:p>
    <w:p w14:paraId="627DE2AD" w14:textId="77777777" w:rsidR="001202BF" w:rsidRDefault="001202BF" w:rsidP="001202BF">
      <w:pPr>
        <w:spacing w:after="100"/>
        <w:jc w:val="left"/>
      </w:pPr>
    </w:p>
    <w:p w14:paraId="126DE077" w14:textId="77777777" w:rsidR="001202BF" w:rsidRDefault="001202BF" w:rsidP="001202BF">
      <w:pPr>
        <w:spacing w:after="100"/>
        <w:jc w:val="left"/>
      </w:pPr>
    </w:p>
    <w:p w14:paraId="1C48F200" w14:textId="77777777" w:rsidR="001202BF" w:rsidRPr="00747ECB" w:rsidRDefault="001202BF" w:rsidP="001202BF">
      <w:pPr>
        <w:spacing w:after="100"/>
        <w:jc w:val="left"/>
      </w:pPr>
    </w:p>
    <w:p w14:paraId="3578A964" w14:textId="77777777" w:rsidR="001202BF" w:rsidRDefault="001202BF" w:rsidP="001202BF">
      <w:pPr>
        <w:spacing w:after="100"/>
        <w:jc w:val="left"/>
        <w:rPr>
          <w:rFonts w:asciiTheme="majorHAnsi" w:eastAsiaTheme="majorEastAsia" w:hAnsiTheme="majorHAnsi" w:cstheme="majorBidi"/>
          <w:b/>
          <w:color w:val="2F5496" w:themeColor="accent1" w:themeShade="BF"/>
          <w:sz w:val="26"/>
          <w:szCs w:val="26"/>
        </w:rPr>
      </w:pPr>
    </w:p>
    <w:p w14:paraId="71072E6D" w14:textId="77777777" w:rsidR="001202BF" w:rsidRDefault="001202BF" w:rsidP="001202BF">
      <w:pPr>
        <w:spacing w:after="100"/>
        <w:jc w:val="left"/>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2C836F39" w14:textId="77777777" w:rsidTr="00D608E0">
        <w:trPr/>
        <w:tc>
          <w:tcPr>
            <w:tcW w:w="9781" w:type="dxa"/>
            <w:vAlign w:val="center"/>
          </w:tcPr>
          <w:p w14:paraId="3B8D0847" w14:textId="77777777"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7AE17801" w14:textId="77777777" w:rsidTr="00D608E0">
        <w:trPr/>
        <w:tc>
          <w:tcPr>
            <w:tcW w:w="9781" w:type="dxa"/>
            <w:shd w:val="clear" w:color="auto" w:fill="D9E2F3" w:themeFill="accent1" w:themeFillTint="33"/>
            <w:vAlign w:val="center"/>
          </w:tcPr>
          <w:p w14:paraId="494EB8F8" w14:textId="77777777" w:rsidR="001202BF" w:rsidRDefault="001202BF" w:rsidP="00585A13">
            <w:pPr>
              <w:pStyle w:val="Piedepgina"/>
              <w:spacing w:after="100"/>
              <w:jc w:val="left"/>
              <w:rPr>
                <w:rFonts w:ascii="Calibri" w:hAnsi="Calibri"/>
                <w:color w:val="1F3864" w:themeColor="accent1" w:themeShade="80"/>
              </w:rPr>
            </w:pPr>
          </w:p>
          <w:p w14:paraId="6C1AE512" w14:textId="77777777" w:rsidR="001202BF" w:rsidRPr="00747ECB" w:rsidRDefault="001202BF" w:rsidP="006B7645">
            <w:pPr>
              <w:pStyle w:val="Piedepgina"/>
              <w:spacing w:after="100"/>
              <w:jc w:val="left"/>
              <w:rPr>
                <w:rFonts w:ascii="Calibri" w:hAnsi="Calibri"/>
                <w:color w:val="1F3864" w:themeColor="accent1" w:themeShade="80"/>
              </w:rPr>
            </w:pPr>
            <w:r>
              <w:rPr>
                <w:rFonts w:ascii="Calibri" w:hAnsi="Calibri"/>
                <w:b w:val="0"/>
                <w:color w:val="142B43"/>
                <w:sz w:val="21"/>
              </w:rPr>
              <w:t xml:space="preserve">El objetivo de este informe es que describas los aspectos más relevantes de tu Proyecto APT. Es importante que fundamentes las decisiones que tuviste que tomar a lo largo del proceso. </w:t>
            </w:r>
          </w:p>
          <w:p w14:paraId="5ED2E1B7" w14:textId="77777777" w:rsidR="00B0399B" w:rsidRDefault="00B0399B" w:rsidP="006B7645">
            <w:pPr>
              <w:pStyle w:val="Piedepgina"/>
              <w:spacing w:after="100"/>
              <w:jc w:val="left"/>
              <w:rPr>
                <w:rFonts w:ascii="Calibri" w:hAnsi="Calibri"/>
                <w:color w:val="1F3864" w:themeColor="accent1" w:themeShade="80"/>
              </w:rPr>
            </w:pPr>
          </w:p>
          <w:p w14:paraId="5B2A2530" w14:textId="77777777" w:rsidR="000C587E" w:rsidRPr="00386458" w:rsidRDefault="000C587E" w:rsidP="006B7645">
            <w:pPr>
              <w:pStyle w:val="Piedepgina"/>
              <w:spacing w:after="100"/>
              <w:jc w:val="left"/>
              <w:rPr>
                <w:rFonts w:ascii="Calibri" w:hAnsi="Calibri"/>
                <w:b/>
                <w:color w:val="1F3864" w:themeColor="accent1" w:themeShade="80"/>
              </w:rPr>
            </w:pPr>
            <w:r>
              <w:rPr>
                <w:rFonts w:ascii="Calibri" w:hAnsi="Calibri"/>
                <w:b w:val="0"/>
                <w:color w:val="142B43"/>
                <w:sz w:val="21"/>
              </w:rPr>
              <w:t>A continuación, encontrarás distintos campos que deberás completar con la información solicitada, los que dan cuenta del resumen de tu proyecto APT y sus principales resultados.</w:t>
            </w:r>
          </w:p>
        </w:tc>
      </w:tr>
    </w:tbl>
    <w:p w14:paraId="36C5A8D6" w14:textId="77777777" w:rsidR="001202BF" w:rsidRDefault="001202BF" w:rsidP="001202BF">
      <w:pPr>
        <w:spacing w:after="100"/>
        <w:jc w:val="left"/>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7441CB85" w14:textId="77777777" w:rsidTr="00434472">
        <w:trPr/>
        <w:tc>
          <w:tcPr>
            <w:tcW w:w="3159" w:type="dxa"/>
            <w:vAlign w:val="center"/>
          </w:tcPr>
          <w:p w14:paraId="57EAF7ED"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6C36254C" w14:textId="77777777" w:rsidR="008E3E05" w:rsidRDefault="00000000">
            <w:pPr>
              <w:spacing w:before="40" w:after="40" w:line="240" w:lineRule="auto"/>
              <w:jc w:val="both"/>
              <w:rPr>
                <w:rFonts w:ascii="Calibri" w:hAnsi="Calibri"/>
              </w:rPr>
            </w:pPr>
            <w:r>
              <w:rPr>
                <w:rFonts w:ascii="Calibri" w:hAnsi="Calibri"/>
                <w:b/>
                <w:bCs/>
                <w:color w:val="1F4E79"/>
              </w:rPr>
              <w:t>NovaFit Analytics Suite</w:t>
            </w:r>
          </w:p>
        </w:tc>
      </w:tr>
      <w:tr w:rsidR="00050706" w:rsidRPr="00B4008E" w14:paraId="445B78BE" w14:textId="77777777" w:rsidTr="00434472">
        <w:trPr/>
        <w:tc>
          <w:tcPr>
            <w:tcW w:w="3159" w:type="dxa"/>
            <w:vAlign w:val="center"/>
          </w:tcPr>
          <w:p w14:paraId="1B299159"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B9C9B1" w14:textId="77777777" w:rsidR="008E3E05" w:rsidRDefault="00000000">
            <w:pPr>
              <w:spacing w:before="30" w:after="30" w:line="240" w:lineRule="auto"/>
              <w:jc w:val="both"/>
              <w:rPr>
                <w:rFonts w:ascii="Calibri" w:hAnsi="Calibri"/>
                <w:sz w:val="21"/>
                <w:szCs w:val="21"/>
              </w:rPr>
            </w:pPr>
            <w:r>
              <w:rPr>
                <w:rFonts w:ascii="Calibri" w:hAnsi="Calibri"/>
                <w:color w:val="262626"/>
                <w:sz w:val="21"/>
                <w:szCs w:val="21"/>
              </w:rPr>
              <w:t>• Desarrollo y Construcción de Soluciones de Software</w:t>
            </w:r>
          </w:p>
          <w:p w14:paraId="067B5449" w14:textId="77777777" w:rsidR="008E3E05" w:rsidRDefault="00000000">
            <w:pPr>
              <w:spacing w:before="30" w:after="30" w:line="240" w:lineRule="auto"/>
              <w:jc w:val="both"/>
              <w:rPr>
                <w:rFonts w:ascii="Calibri" w:hAnsi="Calibri"/>
                <w:sz w:val="21"/>
                <w:szCs w:val="21"/>
              </w:rPr>
            </w:pPr>
            <w:r>
              <w:rPr>
                <w:rFonts w:ascii="Calibri" w:hAnsi="Calibri"/>
                <w:color w:val="262626"/>
                <w:sz w:val="21"/>
                <w:szCs w:val="21"/>
              </w:rPr>
              <w:t>• Gestión y Administración de Proyectos Informáticos</w:t>
            </w:r>
          </w:p>
          <w:p w14:paraId="445D24D9" w14:textId="77777777" w:rsidR="008E3E05" w:rsidRDefault="00000000">
            <w:pPr>
              <w:spacing w:before="30" w:after="30" w:line="240" w:lineRule="auto"/>
              <w:jc w:val="both"/>
              <w:rPr>
                <w:rFonts w:ascii="Calibri" w:hAnsi="Calibri"/>
                <w:sz w:val="21"/>
                <w:szCs w:val="21"/>
              </w:rPr>
            </w:pPr>
            <w:r>
              <w:rPr>
                <w:rFonts w:ascii="Calibri" w:hAnsi="Calibri"/>
                <w:color w:val="262626"/>
                <w:sz w:val="21"/>
                <w:szCs w:val="21"/>
              </w:rPr>
              <w:t>• Gestión de Bases de Datos y Seguridad de la Información</w:t>
            </w:r>
          </w:p>
        </w:tc>
      </w:tr>
      <w:tr w:rsidR="00050706" w:rsidRPr="00B4008E" w14:paraId="4FC96049" w14:textId="77777777" w:rsidTr="00434472">
        <w:trPr/>
        <w:tc>
          <w:tcPr>
            <w:tcW w:w="3159" w:type="dxa"/>
            <w:vAlign w:val="center"/>
          </w:tcPr>
          <w:p w14:paraId="0433D7A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53E61310" w14:textId="77777777" w:rsidR="00050706" w:rsidRPr="00B4008E" w:rsidRDefault="00050706" w:rsidP="00E42375">
            <w:pPr>
              <w:rPr>
                <w:rFonts w:ascii="Calibri" w:hAnsi="Calibri"/>
                <w:color w:val="1F3864" w:themeColor="accent1" w:themeShade="80"/>
              </w:rPr>
            </w:pPr>
          </w:p>
        </w:tc>
        <w:tc>
          <w:tcPr>
            <w:tcW w:w="6622" w:type="dxa"/>
            <w:vAlign w:val="center"/>
          </w:tcPr>
          <w:p w14:paraId="3C763962" w14:textId="77777777" w:rsidR="008E3E05" w:rsidRDefault="00000000">
            <w:pPr>
              <w:spacing w:before="40" w:after="100" w:line="240" w:lineRule="auto"/>
              <w:jc w:val="left"/>
              <w:rPr>
                <w:rFonts w:ascii="Calibri" w:hAnsi="Calibri"/>
                <w:sz w:val="21"/>
                <w:szCs w:val="21"/>
              </w:rPr>
            </w:pPr>
            <w:r>
              <w:rPr>
                <w:rFonts w:ascii="Calibri" w:hAnsi="Calibri"/>
                <w:b w:val="0"/>
                <w:color w:val="142B43"/>
                <w:sz w:val="21"/>
              </w:rPr>
              <w:t>1. Desarrollo de Software: Desarrollar una solución de software utilizando técnicas que permitan sistematizar el proceso de desarrollo y mantenimiento de los sistemas de acuerdo a los requerimientos del negocio y estándares de la industria.</w:t>
            </w:r>
          </w:p>
          <w:p w14:paraId="1E844603" w14:textId="77777777" w:rsidR="008E3E05" w:rsidRDefault="00000000">
            <w:pPr>
              <w:spacing w:before="40" w:after="100" w:line="240" w:lineRule="auto"/>
              <w:jc w:val="left"/>
              <w:rPr>
                <w:rFonts w:ascii="Calibri" w:hAnsi="Calibri"/>
                <w:sz w:val="21"/>
                <w:szCs w:val="21"/>
              </w:rPr>
            </w:pPr>
            <w:r>
              <w:rPr>
                <w:rFonts w:ascii="Calibri" w:hAnsi="Calibri"/>
                <w:b w:val="0"/>
                <w:color w:val="142B43"/>
                <w:sz w:val="21"/>
              </w:rPr>
              <w:t>2. Modelado y Gestión de Datos: Construir modelos de datos para soportar los requerimientos de la organización de acuerdo a un diseño definido y escalabilidad requerida.</w:t>
            </w:r>
          </w:p>
          <w:p w14:paraId="537E99A9" w14:textId="77777777" w:rsidR="008E3E05" w:rsidRDefault="00000000">
            <w:pPr>
              <w:spacing w:before="40" w:after="100" w:line="240" w:lineRule="auto"/>
              <w:jc w:val="left"/>
              <w:rPr>
                <w:rFonts w:ascii="Calibri" w:hAnsi="Calibri"/>
                <w:sz w:val="21"/>
                <w:szCs w:val="21"/>
              </w:rPr>
            </w:pPr>
            <w:r>
              <w:rPr>
                <w:rFonts w:ascii="Calibri" w:hAnsi="Calibri"/>
                <w:b w:val="0"/>
                <w:color w:val="142B43"/>
                <w:sz w:val="21"/>
              </w:rPr>
              <w:t>3. Gestión de Proyectos: Gestionar proyectos informáticos, ofreciendo alternativas para la toma de decisiones de acuerdo a los requerimientos de la organización y estándares de la industria.</w:t>
            </w:r>
          </w:p>
          <w:p w14:paraId="3AD9C78E" w14:textId="77777777" w:rsidR="008E3E05" w:rsidRDefault="00000000">
            <w:pPr>
              <w:spacing w:before="40" w:after="100" w:line="240" w:lineRule="auto"/>
              <w:jc w:val="left"/>
              <w:rPr>
                <w:rFonts w:ascii="Calibri" w:hAnsi="Calibri"/>
                <w:sz w:val="21"/>
                <w:szCs w:val="21"/>
              </w:rPr>
            </w:pPr>
            <w:r>
              <w:rPr>
                <w:rFonts w:ascii="Calibri" w:hAnsi="Calibri"/>
                <w:b w:val="0"/>
                <w:color w:val="142B43"/>
                <w:sz w:val="21"/>
              </w:rPr>
              <w:t>4. Calidad y Certificación: Realizar pruebas de certificación tanto de los productos como de los procesos utilizando buenas prácticas definidas por estándares internacionales.</w:t>
            </w:r>
          </w:p>
        </w:tc>
      </w:tr>
    </w:tbl>
    <w:p w14:paraId="7B7FB838" w14:textId="77777777" w:rsidR="00050706" w:rsidRDefault="00050706" w:rsidP="001202BF">
      <w:pPr>
        <w:spacing w:after="100"/>
        <w:jc w:val="left"/>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255DC0F5" w14:textId="77777777" w:rsidTr="7EB51544">
        <w:trPr/>
        <w:tc>
          <w:tcPr>
            <w:tcW w:w="9781" w:type="dxa"/>
            <w:gridSpan w:val="2"/>
            <w:shd w:val="clear" w:color="auto" w:fill="D9D9D9" w:themeFill="background1" w:themeFillShade="D9"/>
            <w:vAlign w:val="center"/>
          </w:tcPr>
          <w:p w14:paraId="6DCB252A" w14:textId="77777777" w:rsidR="001202BF" w:rsidRPr="009B676B" w:rsidRDefault="001202BF" w:rsidP="000C587E">
            <w:pPr>
              <w:spacing w:after="100"/>
              <w:jc w:val="left"/>
              <w:rPr>
                <w:b/>
              </w:rPr>
            </w:pPr>
            <w:r>
              <w:rPr>
                <w:rFonts w:ascii="Calibri" w:hAnsi="Calibri"/>
                <w:b w:val="0"/>
                <w:color w:val="142B43"/>
                <w:sz w:val="21"/>
              </w:rPr>
              <w:t>NovaFit Analytics Suite integra la gestión comercial y el registro de entrenamiento en una solución web/móvil. Panel administrativo multisucursal, administración de usuarios y membresías, facturación y conciliación de pagos, planificación de rutinas y sesiones, aplicación móvil para registrar entrenamiento y analítica de carga. Se excluyen torniquetes, wearables y diagnóstico médico. La disponibilidad real de cada capacidad debe demostrarse mediante pruebas y aceptación.</w:t>
            </w:r>
          </w:p>
          <w:p w14:paraId="6DCB252A" w14:textId="77777777" w:rsidR="001202BF" w:rsidRPr="009B676B" w:rsidRDefault="001202BF" w:rsidP="000C587E">
            <w:pPr>
              <w:spacing w:after="100"/>
              <w:jc w:val="left"/>
              <w:rPr>
                <w:b/>
              </w:rPr>
            </w:pPr>
            <w:r>
              <w:rPr>
                <w:rFonts w:ascii="Calibri" w:hAnsi="Calibri"/>
                <w:b w:val="0"/>
                <w:color w:val="142B43"/>
                <w:sz w:val="21"/>
              </w:rPr>
              <w:t>El snapshot schema.sql contiene 33 tablas: 32 funcionales y alembic_version, de control técnico. El código ORM representa las 32 tablas funcionales. El inventario describe los archivos entregados y no certifica el esquema instalado en producción.</w:t>
            </w:r>
          </w:p>
          <w:p w14:paraId="6DCB252A" w14:textId="77777777" w:rsidR="001202BF" w:rsidRPr="009B676B" w:rsidRDefault="001202BF" w:rsidP="000C587E">
            <w:pPr>
              <w:spacing w:after="100"/>
              <w:jc w:val="left"/>
              <w:rPr>
                <w:b/>
              </w:rPr>
            </w:pPr>
            <w:r>
              <w:rPr>
                <w:rFonts w:ascii="Calibri" w:hAnsi="Calibri"/>
                <w:b w:val="0"/>
                <w:color w:val="142B43"/>
                <w:sz w:val="21"/>
              </w:rPr>
              <w:t>La edición consolida el estado documentado de Fase 2 y separa implementación, verificación pendiente y beneficios esperados.</w:t>
            </w:r>
          </w:p>
        </w:tc>
      </w:tr>
      <w:tr w:rsidR="001202BF" w14:paraId="63A326FF" w14:textId="77777777" w:rsidTr="7EB51544">
        <w:trPr/>
        <w:tc>
          <w:tcPr>
            <w:tcW w:w="3001" w:type="dxa"/>
            <w:vAlign w:val="center"/>
          </w:tcPr>
          <w:p w14:paraId="18C044D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231E54D6" w14:textId="77777777" w:rsidR="008E3E05" w:rsidRDefault="00000000">
            <w:pPr>
              <w:spacing w:before="60" w:after="100" w:line="240" w:lineRule="auto"/>
              <w:jc w:val="left"/>
              <w:rPr>
                <w:rFonts w:ascii="Calibri" w:hAnsi="Calibri"/>
                <w:sz w:val="21"/>
                <w:szCs w:val="21"/>
              </w:rPr>
            </w:pPr>
            <w:r>
              <w:rPr>
                <w:rFonts w:ascii="Calibri" w:hAnsi="Calibri"/>
                <w:b w:val="0"/>
                <w:color w:val="142B43"/>
                <w:sz w:val="21"/>
              </w:rPr>
              <w:t>Problema: información repartida entre planillas, mensajería y fichas de entrenamiento. Los usuarios objetivo son administradores, entrenadores y atletas. La solución busca centralizar historial, facilitar la cobranza y apoyar decisiones de entrenamiento. La reducción de trabajo administrativo y la mejora en cobranza se medirán en piloto; no se declara una reducción lograda del 80% ni eliminación de impagos.</w:t>
            </w:r>
          </w:p>
        </w:tc>
      </w:tr>
      <w:tr w:rsidR="001202BF" w14:paraId="1713FF83" w14:textId="77777777" w:rsidTr="7EB51544">
        <w:trPr/>
        <w:tc>
          <w:tcPr>
            <w:tcW w:w="3001" w:type="dxa"/>
            <w:vAlign w:val="center"/>
          </w:tcPr>
          <w:p w14:paraId="051BF6E8"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1CDBD5D6" w14:textId="77777777" w:rsidR="008E3E05" w:rsidRDefault="00000000">
            <w:pPr>
              <w:spacing w:before="60" w:after="100" w:line="240" w:lineRule="auto"/>
              <w:jc w:val="left"/>
              <w:rPr>
                <w:rFonts w:ascii="Calibri" w:hAnsi="Calibri"/>
                <w:sz w:val="21"/>
                <w:szCs w:val="21"/>
              </w:rPr>
            </w:pPr>
            <w:r>
              <w:rPr>
                <w:rFonts w:ascii="Calibri" w:hAnsi="Calibri"/>
                <w:b w:val="0"/>
                <w:color w:val="142B43"/>
                <w:sz w:val="21"/>
              </w:rPr>
              <w:t>Objetivo general: diseñar y construir una plataforma para gestión multisucursal y seguimiento de carga. Objetivos específicos: gestionar usuarios y permisos; digitalizar membresías y cobros; planificar y registrar entrenamientos; calcular ACWR y puntaje de fatiga; ofrecer acceso web/móvil; ejecutar y documentar pruebas de calidad.</w:t>
            </w:r>
          </w:p>
          <w:p w14:paraId="1CDBD5D6" w14:textId="77777777" w:rsidR="008E3E05" w:rsidRDefault="00000000">
            <w:pPr>
              <w:spacing w:before="60" w:after="100" w:line="240" w:lineRule="auto"/>
              <w:jc w:val="left"/>
              <w:rPr>
                <w:rFonts w:ascii="Calibri" w:hAnsi="Calibri"/>
                <w:sz w:val="21"/>
                <w:szCs w:val="21"/>
              </w:rPr>
            </w:pPr>
            <w:r>
              <w:rPr>
                <w:rFonts w:ascii="Calibri" w:hAnsi="Calibri"/>
                <w:b w:val="0"/>
                <w:color w:val="142B43"/>
                <w:sz w:val="21"/>
              </w:rPr>
              <w:t>La carga implementada suma peso_kg × repeticiones de las series válidas, excluyendo calentamiento. La carga aguda acumula 7 días y la crónica acumula 28 días. El promedio crónico semanal divide el volumen de 28 días por min(4, días de historial / 7). ACWR = volumen de 7 días / promedio crónico semanal. Con menos de 7 días se aplica la inicialización prevista en el servicio y pueden consultarse registros históricos; con denominador cero no se obtiene un ratio numérico. El RPE interviene por separado en el puntaje compuesto de fatiga, no multiplica el volumen del ACWR.</w:t>
            </w:r>
          </w:p>
          <w:p w14:paraId="1CDBD5D6" w14:textId="77777777" w:rsidR="008E3E05" w:rsidRDefault="00000000">
            <w:pPr>
              <w:spacing w:before="60" w:after="100" w:line="240" w:lineRule="auto"/>
              <w:jc w:val="left"/>
              <w:rPr>
                <w:rFonts w:ascii="Calibri" w:hAnsi="Calibri"/>
                <w:sz w:val="21"/>
                <w:szCs w:val="21"/>
              </w:rPr>
            </w:pPr>
            <w:r>
              <w:rPr>
                <w:rFonts w:ascii="Calibri" w:hAnsi="Calibri"/>
                <w:b w:val="0"/>
                <w:color w:val="142B43"/>
                <w:sz w:val="21"/>
              </w:rPr>
              <w:t>La aceptación requiere completar las evidencias pendientes del plan QA.</w:t>
            </w:r>
          </w:p>
        </w:tc>
      </w:tr>
      <w:tr w:rsidR="001202BF" w14:paraId="57F71D18" w14:textId="77777777" w:rsidTr="7EB51544">
        <w:tc>
          <w:tcPr>
            <w:tcW w:w="3001" w:type="dxa"/>
            <w:vAlign w:val="center"/>
          </w:tcPr>
          <w:p w14:paraId="753DF2E5"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3. Metodología</w:t>
            </w:r>
          </w:p>
        </w:tc>
        <w:tc>
          <w:tcPr>
            <w:tcW w:w="6780" w:type="dxa"/>
            <w:vAlign w:val="center"/>
          </w:tcPr>
          <w:p w14:paraId="649C1EC5" w14:textId="77777777" w:rsidR="008E3E05" w:rsidRDefault="00000000">
            <w:pPr>
              <w:spacing w:before="60" w:after="100" w:line="240" w:lineRule="auto"/>
              <w:jc w:val="left"/>
              <w:rPr>
                <w:rFonts w:ascii="Calibri" w:hAnsi="Calibri"/>
                <w:sz w:val="21"/>
                <w:szCs w:val="21"/>
              </w:rPr>
            </w:pPr>
            <w:r>
              <w:rPr>
                <w:rFonts w:ascii="Calibri" w:hAnsi="Calibri"/>
                <w:b w:val="0"/>
                <w:color w:val="142B43"/>
                <w:sz w:val="21"/>
              </w:rPr>
              <w:t>Metodología: prácticas ágiles durante el ciclo del 07-09 al 11-10-2026, con coordinación por RACI y reuniones APT-04 a APT-06. La organización académica comprende Fase 1 (planificación), Fase 2 (construcción) y Fase 3 (pruebas finales e implantación). Las cinco etapas de ingeniería del ERS son una descomposición de costos y actividades, no cinco fases académicas.</w:t>
            </w:r>
          </w:p>
          <w:p w14:paraId="649C1EC5" w14:textId="77777777" w:rsidR="008E3E05" w:rsidRDefault="00000000">
            <w:pPr>
              <w:spacing w:before="60" w:after="100" w:line="240" w:lineRule="auto"/>
              <w:jc w:val="left"/>
              <w:rPr>
                <w:rFonts w:ascii="Calibri" w:hAnsi="Calibri"/>
                <w:sz w:val="21"/>
                <w:szCs w:val="21"/>
              </w:rPr>
            </w:pPr>
            <w:r>
              <w:rPr>
                <w:rFonts w:ascii="Calibri" w:hAnsi="Calibri"/>
                <w:b w:val="0"/>
                <w:color w:val="142B43"/>
                <w:sz w:val="21"/>
              </w:rPr>
              <w:t>La matriz original contiene cuatro cambios con datos: SC-01, paso de escritorio a web/móvil (18-08-2026); SC-02, Carta Gantt (25-08-2026); SC-03, honorarios de $12.500.000 CLP (06-09-2026); SC-04, roles (06-09-2026). Su estado «Aceptado» fue inferido en las notas originales, por lo que requiere ratificación documental. SC-05 (Zoho) y SC-06 (ACWR) se proponen para regularizar lo relatado en APT-05; no se consideran aprobados.</w:t>
            </w:r>
          </w:p>
        </w:tc>
      </w:tr>
      <w:tr w:rsidR="001202BF" w14:paraId="0EFA713C" w14:textId="77777777" w:rsidTr="7EB51544">
        <w:trPr/>
        <w:tc>
          <w:tcPr>
            <w:tcW w:w="3001" w:type="dxa"/>
            <w:vAlign w:val="center"/>
          </w:tcPr>
          <w:p w14:paraId="3E24152F"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094D8265" w14:textId="77777777" w:rsidR="008E3E05" w:rsidRDefault="00000000">
            <w:pPr>
              <w:spacing w:before="60" w:after="100" w:line="240" w:lineRule="auto"/>
              <w:jc w:val="left"/>
              <w:rPr>
                <w:rFonts w:ascii="Calibri" w:hAnsi="Calibri"/>
                <w:sz w:val="21"/>
                <w:szCs w:val="21"/>
              </w:rPr>
            </w:pPr>
            <w:r>
              <w:rPr>
                <w:rFonts w:ascii="Calibri" w:hAnsi="Calibri"/>
                <w:b w:val="0"/>
                <w:color w:val="142B43"/>
                <w:sz w:val="21"/>
              </w:rPr>
              <w:t>Desarrollo: código de API modular, frontend web, aplicación móvil, persistencia relacional, cobros y mensajería. El modelo arquitectónico empleado es 4+1 sobre una API modular de tres capas.</w:t>
            </w:r>
          </w:p>
          <w:p w14:paraId="094D8265" w14:textId="77777777" w:rsidR="008E3E05" w:rsidRDefault="00000000">
            <w:pPr>
              <w:spacing w:before="60" w:after="100" w:line="240" w:lineRule="auto"/>
              <w:jc w:val="left"/>
              <w:rPr>
                <w:rFonts w:ascii="Calibri" w:hAnsi="Calibri"/>
                <w:sz w:val="21"/>
                <w:szCs w:val="21"/>
              </w:rPr>
            </w:pPr>
            <w:r>
              <w:rPr>
                <w:rFonts w:ascii="Calibri" w:hAnsi="Calibri"/>
                <w:b w:val="0"/>
                <w:color w:val="142B43"/>
                <w:sz w:val="21"/>
              </w:rPr>
              <w:t>El snapshot schema.sql contiene 33 tablas: 32 funcionales y alembic_version, de control técnico. El código ORM representa las 32 tablas funcionales. El inventario describe los archivos entregados y no certifica el esquema instalado en producción.</w:t>
            </w:r>
          </w:p>
          <w:p w14:paraId="094D8265" w14:textId="77777777" w:rsidR="008E3E05" w:rsidRDefault="00000000">
            <w:pPr>
              <w:spacing w:before="60" w:after="100" w:line="240" w:lineRule="auto"/>
              <w:jc w:val="left"/>
              <w:rPr>
                <w:rFonts w:ascii="Calibri" w:hAnsi="Calibri"/>
                <w:sz w:val="21"/>
                <w:szCs w:val="21"/>
              </w:rPr>
            </w:pPr>
            <w:r>
              <w:rPr>
                <w:rFonts w:ascii="Calibri" w:hAnsi="Calibri"/>
                <w:b w:val="0"/>
                <w:color w:val="142B43"/>
                <w:sz w:val="21"/>
              </w:rPr>
              <w:t>El endpoint implementado es /api/v1/webhooks/mercadopago. La verificación de firma depende de recibir todos los encabezados y el identificador requeridos; la rama sin esos datos continúa el procesamiento. Por tanto, la verificación obligatoria y el rechazo de solicitudes sin firma son requisitos pendientes de corrección y prueba, no garantías acreditadas.</w:t>
            </w:r>
          </w:p>
          <w:p w14:paraId="094D8265" w14:textId="77777777" w:rsidR="008E3E05" w:rsidRDefault="00000000">
            <w:pPr>
              <w:spacing w:before="60" w:after="100" w:line="240" w:lineRule="auto"/>
              <w:jc w:val="left"/>
              <w:rPr>
                <w:rFonts w:ascii="Calibri" w:hAnsi="Calibri"/>
                <w:sz w:val="21"/>
                <w:szCs w:val="21"/>
              </w:rPr>
            </w:pPr>
            <w:r>
              <w:rPr>
                <w:rFonts w:ascii="Calibri" w:hAnsi="Calibri"/>
                <w:b w:val="0"/>
                <w:color w:val="142B43"/>
                <w:sz w:val="21"/>
              </w:rPr>
              <w:t>El cierre original reportó 16 casos aprobados. El repositorio revisado no contiene el plan ejecutado ni sus resultados por caso. El ZIP incluye una función de prueba de integración de entrenamiento; su presencia no acredita su ejecución. Plan_Pruebas_y_Evidencias.xlsx propone 16 casos nuevos, todos pendientes de ejecución, y no reconstruye ni certifica el plan histórico.</w:t>
            </w:r>
          </w:p>
          <w:p w14:paraId="094D8265" w14:textId="77777777" w:rsidR="008E3E05" w:rsidRDefault="00000000">
            <w:pPr>
              <w:spacing w:before="60" w:after="100" w:line="240" w:lineRule="auto"/>
              <w:jc w:val="left"/>
              <w:rPr>
                <w:rFonts w:ascii="Calibri" w:hAnsi="Calibri"/>
                <w:sz w:val="21"/>
                <w:szCs w:val="21"/>
              </w:rPr>
            </w:pPr>
            <w:r>
              <w:rPr>
                <w:rFonts w:ascii="Calibri" w:hAnsi="Calibri"/>
                <w:b w:val="0"/>
                <w:color w:val="142B43"/>
                <w:sz w:val="21"/>
              </w:rPr>
              <w:t>El historial analítico corresponde a fatigue_indicators y predictive_alerts. La tasa de entrega de correo, latencia de consultas y mejora del caché móvil requieren mediciones reproducibles.</w:t>
            </w:r>
          </w:p>
        </w:tc>
      </w:tr>
      <w:tr w:rsidR="001202BF" w14:paraId="4CA4382A" w14:textId="77777777" w:rsidTr="7EB51544">
        <w:trPr/>
        <w:tc>
          <w:tcPr>
            <w:tcW w:w="3001" w:type="dxa"/>
            <w:vAlign w:val="center"/>
          </w:tcPr>
          <w:p w14:paraId="38D6D1F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24425317" w14:textId="77777777" w:rsidR="008E3E05" w:rsidRDefault="00000000">
            <w:pPr>
              <w:spacing w:before="60" w:after="100" w:line="240" w:lineRule="auto"/>
              <w:jc w:val="left"/>
              <w:rPr>
                <w:rFonts w:ascii="Calibri" w:hAnsi="Calibri"/>
                <w:sz w:val="21"/>
                <w:szCs w:val="21"/>
              </w:rPr>
            </w:pPr>
            <w:r>
              <w:rPr>
                <w:rFonts w:ascii="Calibri" w:hAnsi="Calibri"/>
                <w:b w:val="0"/>
                <w:color w:val="142B43"/>
                <w:sz w:val="21"/>
              </w:rPr>
              <w:t>Evidencias disponibles: archivos de código, SQL, diagrama, documentación y matrices. El frontend usa Recharts, no Chart.js. Las URL de despliegue no sustituyen un acta de ejecución. El snapshot SQL es contextual y no equivale a un respaldo restaurable.</w:t>
            </w:r>
          </w:p>
          <w:p w14:paraId="24425317" w14:textId="77777777" w:rsidR="008E3E05" w:rsidRDefault="00000000">
            <w:pPr>
              <w:spacing w:before="60" w:after="100" w:line="240" w:lineRule="auto"/>
              <w:jc w:val="left"/>
              <w:rPr>
                <w:rFonts w:ascii="Calibri" w:hAnsi="Calibri"/>
                <w:sz w:val="21"/>
                <w:szCs w:val="21"/>
              </w:rPr>
            </w:pPr>
            <w:r>
              <w:rPr>
                <w:rFonts w:ascii="Calibri" w:hAnsi="Calibri"/>
                <w:b w:val="0"/>
                <w:color w:val="142B43"/>
                <w:sz w:val="21"/>
              </w:rPr>
              <w:t>Antes de certificar la entrega: adjuntar ejecución de pruebas, APK y datos de compilación, evidencia de restauración, aceptación de usuarios, mediciones de rendimiento y aprobación comercial. También quedan por validar la integración WhatsApp y el alcance de sueño/hidratación para Fase 3.</w:t>
            </w:r>
          </w:p>
          <w:p w14:paraId="24425317" w14:textId="77777777" w:rsidR="008E3E05" w:rsidRDefault="00000000">
            <w:pPr>
              <w:spacing w:before="60" w:after="100" w:line="240" w:lineRule="auto"/>
              <w:jc w:val="left"/>
              <w:rPr>
                <w:rFonts w:ascii="Calibri" w:hAnsi="Calibri"/>
                <w:sz w:val="21"/>
                <w:szCs w:val="21"/>
              </w:rPr>
            </w:pPr>
            <w:r>
              <w:rPr>
                <w:rFonts w:ascii="Calibri" w:hAnsi="Calibri"/>
                <w:b w:val="0"/>
                <w:color w:val="142B43"/>
                <w:sz w:val="21"/>
              </w:rPr>
              <w:t>Las evidencias están inventariadas en Plan_Pruebas_y_Evidencias.xlsx. El flujo de caja agrega una proyección ilustrativa con supuestos editables y fuente por importe.</w:t>
            </w:r>
          </w:p>
        </w:tc>
      </w:tr>
      <w:tr w:rsidR="001202BF" w14:paraId="42A6E871" w14:textId="77777777" w:rsidTr="7EB51544">
        <w:trPr/>
        <w:tc>
          <w:tcPr>
            <w:tcW w:w="3001" w:type="dxa"/>
            <w:vAlign w:val="center"/>
          </w:tcPr>
          <w:p w14:paraId="530B6FE9" w14:textId="77777777"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78D11083" w14:textId="77777777" w:rsidR="008E3E05" w:rsidRDefault="00000000">
            <w:pPr>
              <w:spacing w:before="60" w:after="100" w:line="240" w:lineRule="auto"/>
              <w:jc w:val="left"/>
              <w:rPr>
                <w:rFonts w:ascii="Calibri" w:hAnsi="Calibri"/>
                <w:sz w:val="21"/>
                <w:szCs w:val="21"/>
              </w:rPr>
            </w:pPr>
            <w:r>
              <w:rPr>
                <w:rFonts w:ascii="Calibri" w:hAnsi="Calibri"/>
                <w:b w:val="0"/>
                <w:color w:val="142B43"/>
                <w:sz w:val="21"/>
              </w:rPr>
              <w:t>El proyecto permite trabajar competencias de gestión, backend, diseño de datos, desarrollo web/móvil y calidad. Las reflexiones personales se conservan en sus pautas y deben ser validadas por cada autor. La arquitectura disponible es una API modular, por lo que no se presenta una experiencia acreditada de despliegue de microservicios independientes. Las proyecciones profesionales del equipo incluyen liderazgo técnico, desarrollo de software, arquitectura de datos y QA. La siguiente etapa debe reforzar trazabilidad de aportes, mediciones y aceptación con usuarios.</w:t>
            </w:r>
          </w:p>
        </w:tc>
      </w:tr>
    </w:tbl>
    <w:p w14:paraId="18300880" w14:textId="77777777" w:rsidR="001202BF" w:rsidRDefault="001202BF" w:rsidP="001202BF">
      <w:pPr>
        <w:spacing w:after="100"/>
        <w:jc w:val="left"/>
        <w:rPr>
          <w:b/>
        </w:rPr>
      </w:pPr>
    </w:p>
    <w:p w14:paraId="05C2DAFD" w14:textId="77777777" w:rsidR="00EC0499" w:rsidRDefault="00EC0499" w:rsidP="00EC0499">
      <w:pPr>
        <w:spacing w:after="100" w:line="276" w:lineRule="auto"/>
        <w:ind w:left="-426" w:right="-568"/>
        <w:jc w:val="left"/>
        <w:rPr>
          <w:rFonts w:eastAsiaTheme="majorEastAsia" w:cstheme="minorHAnsi"/>
          <w:color w:val="767171" w:themeColor="background2" w:themeShade="80"/>
          <w:sz w:val="24"/>
          <w:szCs w:val="24"/>
        </w:rPr>
      </w:pPr>
    </w:p>
    <w:p w14:paraId="1F57D023" w14:textId="77777777" w:rsidR="00EC0499" w:rsidRPr="00EC0499" w:rsidRDefault="00EC0499" w:rsidP="00EC0499">
      <w:pPr>
        <w:spacing w:after="100" w:line="276" w:lineRule="auto"/>
        <w:ind w:left="-426" w:right="-568"/>
        <w:jc w:val="left"/>
        <w:rPr>
          <w:rFonts w:eastAsiaTheme="majorEastAsia" w:cstheme="minorHAnsi"/>
          <w:color w:val="767171" w:themeColor="background2" w:themeShade="80"/>
          <w:sz w:val="24"/>
          <w:szCs w:val="24"/>
        </w:rPr>
      </w:pPr>
    </w:p>
    <w:p w14:paraId="06D89959" w14:textId="77777777" w:rsidR="001202BF" w:rsidRDefault="001202BF">
      <w:pPr>
        <w:spacing w:after="100"/>
        <w:jc w:val="left"/>
      </w:pPr>
    </w:p>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A0A73" w14:textId="77777777" w:rsidR="009E0E44" w:rsidRDefault="009E0E44" w:rsidP="00EE1135">
      <w:pPr>
        <w:spacing w:after="0" w:line="240" w:lineRule="auto"/>
      </w:pPr>
      <w:r>
        <w:separator/>
      </w:r>
    </w:p>
  </w:endnote>
  <w:endnote w:type="continuationSeparator" w:id="0">
    <w:p w14:paraId="59ECD61E" w14:textId="77777777" w:rsidR="009E0E44" w:rsidRDefault="009E0E44"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83D3A" w14:textId="77777777" w:rsidR="009E0E44" w:rsidRDefault="009E0E44" w:rsidP="00EE1135">
      <w:pPr>
        <w:spacing w:after="0" w:line="240" w:lineRule="auto"/>
      </w:pPr>
      <w:r>
        <w:separator/>
      </w:r>
    </w:p>
  </w:footnote>
  <w:footnote w:type="continuationSeparator" w:id="0">
    <w:p w14:paraId="60A70298" w14:textId="77777777" w:rsidR="009E0E44" w:rsidRDefault="009E0E44"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42FD17FF" w14:textId="77777777" w:rsidTr="00446279">
      <w:trPr>
        <w:trHeight w:val="697"/>
      </w:trPr>
      <w:tc>
        <w:tcPr>
          <w:tcW w:w="5707" w:type="dxa"/>
          <w:tcBorders>
            <w:top w:val="nil"/>
            <w:left w:val="nil"/>
            <w:bottom w:val="nil"/>
            <w:right w:val="nil"/>
          </w:tcBorders>
        </w:tcPr>
        <w:p w14:paraId="563F8A00" w14:textId="77777777"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5E9E097A" w14:textId="77777777"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6FDE6CB4"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028E6CFA"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952588158">
    <w:abstractNumId w:val="0"/>
  </w:num>
  <w:num w:numId="2" w16cid:durableId="1001589554">
    <w:abstractNumId w:val="2"/>
  </w:num>
  <w:num w:numId="3" w16cid:durableId="492255501">
    <w:abstractNumId w:val="5"/>
  </w:num>
  <w:num w:numId="4" w16cid:durableId="1016006334">
    <w:abstractNumId w:val="1"/>
  </w:num>
  <w:num w:numId="5" w16cid:durableId="1311903803">
    <w:abstractNumId w:val="3"/>
  </w:num>
  <w:num w:numId="6" w16cid:durableId="14072642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2541D2"/>
    <w:rsid w:val="00296D71"/>
    <w:rsid w:val="00364602"/>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8E3E05"/>
    <w:rsid w:val="009378F7"/>
    <w:rsid w:val="00946E78"/>
    <w:rsid w:val="00960A7F"/>
    <w:rsid w:val="009A3C06"/>
    <w:rsid w:val="009E0E44"/>
    <w:rsid w:val="00A076F3"/>
    <w:rsid w:val="00AF2D4E"/>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DB84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2329</Words>
  <Characters>12812</Characters>
  <Application>Microsoft Office Word</Application>
  <DocSecurity>0</DocSecurity>
  <Lines>106</Lines>
  <Paragraphs>30</Paragraphs>
  <ScaleCrop>false</ScaleCrop>
  <Company/>
  <LinksUpToDate>false</LinksUpToDate>
  <CharactersWithSpaces>15111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VICENTE . GILBERT ESPINOSA</cp:lastModifiedBy>
  <cp:revision>1</cp:revision>
  <dcterms:created xsi:type="dcterms:W3CDTF">2022-08-24T18:22:00Z</dcterms:created>
  <dcterms:modified xsi:type="dcterms:W3CDTF">2026-10-27T01:08:00Z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