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cierre de construcción</w:t>
      </w:r>
    </w:p>
    <w:p>
      <w:pPr>
        <w:pStyle w:val="Subtitle"/>
      </w:pPr>
      <w:r>
        <w:t>Cierre reportado: 12-10-2026 · Edición retrospectiva: 29-10-2026</w:t>
      </w:r>
    </w:p>
    <w:p>
      <w:r>
        <w:t>Edición documental corregida, 29-10-2026. Base de revisión: commit d86a6b6. Las comprobaciones de código son estáticas. Los resultados operativos, la aceptación y las aprobaciones requieren sus evidencias de ejecución.</w:t>
      </w:r>
    </w:p>
    <w:p>
      <w:r>
        <w:t>Identificador de referencia: CIERRE-F2-01. El original utiliza «APT-02»; se mantiene esa referencia histórica sin reutilizarla como número de una nueva reunión. Esta edición no constituye un acta firmada.</w:t>
      </w:r>
    </w:p>
    <w:p>
      <w:pPr>
        <w:pStyle w:val="Heading1"/>
      </w:pPr>
      <w:r>
        <w:t>1. Período y participantes</w:t>
      </w:r>
    </w:p>
    <w:p>
      <w:r>
        <w:t>Ciclo reportado del 07-09 al 11-10-2026, cinco semanas con revisiones periódicas. La reunión APT-04 del 15-09 formaliza planificación técnica y no modifica por sí sola el comienzo del ciclo.</w:t>
      </w:r>
    </w:p>
    <w:p>
      <w:r>
        <w:t>Felipe Romero Díaz, Vicente Gilbert Espinosa, Yulian Silva, Antonio Maturana, Steven San Martín</w:t>
      </w:r>
    </w:p>
    <w:p>
      <w:pPr>
        <w:pStyle w:val="Heading1"/>
      </w:pPr>
      <w:r>
        <w:t>2. Trabajo documentado</w:t>
      </w:r>
    </w:p>
    <w:p>
      <w:r>
        <w:t>El ZIP contiene backend, clientes web y móvil, persistencia e integraciones. El snapshot schema.sql contiene 33 tablas: 32 funcionales y alembic_version, de control técnico. El código ORM representa las 32 tablas funcionales. El inventario describe los archivos entregados y no certifica el esquema instalado en producción.</w:t>
      </w:r>
    </w:p>
    <w:p>
      <w:r>
        <w:t>La carga implementada suma peso_kg × repeticiones de las series válidas, excluyendo calentamiento. La carga aguda acumula 7 días y la crónica acumula 28 días. El promedio crónico semanal divide el volumen de 28 días por min(4, días de historial / 7). ACWR = volumen de 7 días / promedio crónico semanal. Con menos de 7 días se aplica la inicialización prevista en el servicio y pueden consultarse registros históricos; con denominador cero no se obtiene un ratio numérico. El RPE interviene por separado en el puntaje compuesto de fatiga, no multiplica el volumen del ACWR.</w:t>
      </w:r>
    </w:p>
    <w:p>
      <w:r>
        <w:t>El endpoint implementado es /api/v1/webhooks/mercadopago. La verificación de firma depende de recibir todos los encabezados y el identificador requeridos; la rama sin esos datos continúa el procesamiento. Por tanto, la verificación obligatoria y el rechazo de solicitudes sin firma son requisitos pendientes de corrección y prueba, no garantías acreditadas.</w:t>
      </w:r>
    </w:p>
    <w:p>
      <w:pPr>
        <w:pStyle w:val="Heading1"/>
      </w:pPr>
      <w:r>
        <w:t>3. Calidad y limitaciones del cierre</w:t>
      </w:r>
    </w:p>
    <w:p>
      <w:r>
        <w:t>El cierre original reportó 16 casos aprobados. El repositorio revisado no contiene el plan ejecutado ni sus resultados por caso. El ZIP incluye una función de prueba de integración de entrenamiento; su presencia no acredita su ejecución. Plan_Pruebas_y_Evidencias.xlsx propone 16 casos nuevos, todos pendientes de ejecución, y no reconstruye ni certifica el plan histórico.</w:t>
      </w:r>
    </w:p>
    <w:p>
      <w:r>
        <w:t>No se conserva la afirmación de ausencia de pendientes críticos. La autenticación del webhook, trazabilidad de resultados, restauración y paquete móvil requieren cierre verificable. Las mejoras de correo y caché se reportan como cambios de implementación sin porcentajes o tiempos medidos.</w:t>
      </w:r>
    </w:p>
    <w:p>
      <w:pPr>
        <w:pStyle w:val="Heading1"/>
      </w:pPr>
      <w:r>
        <w:t>4. Control de cambios y riesgos</w:t>
      </w:r>
    </w:p>
    <w:p>
      <w:r>
        <w:t>La matriz original contiene cuatro cambios con datos: SC-01, paso de escritorio a web/móvil (18-08-2026); SC-02, Carta Gantt (25-08-2026); SC-03, honorarios de $12.500.000 CLP (06-09-2026); SC-04, roles (06-09-2026). Su estado «Aceptado» fue inferido en las notas originales, por lo que requiere ratificación documental. SC-05 (Zoho) y SC-06 (ACWR) se proponen para regularizar lo relatado en APT-05; no se consideran aprobados.</w:t>
      </w:r>
    </w:p>
    <w:p>
      <w:r>
        <w:t>Doce riesgos figuran como mitigados en el original. La copia corregida separa esa declaración del estado de verificación y deja evidencia y riesgo residual pendientes.</w:t>
      </w:r>
    </w:p>
    <w:p>
      <w:pPr>
        <w:pStyle w:val="Heading1"/>
      </w:pPr>
      <w:r>
        <w:t>5. Próximo ciclo</w:t>
      </w:r>
    </w:p>
    <w:p>
      <w:r>
        <w:t>Antes de certificar la entrega: adjuntar ejecución de pruebas, APK y datos de compilación, evidencia de restauración, aceptación de usuarios, mediciones de rendimiento y aprobación comercial. También quedan por validar la integración WhatsApp y el alcance de sueño/hidratación para Fase 3.</w:t>
      </w:r>
    </w:p>
    <w:p>
      <w:r>
        <w:t>Fase 3: ejecutar carga/estrés y UAT, completar manuales, verificar restauración e implantación y preparar la defensa. DAS v2.2 y el diccionario corregido se incorporan retrospectivamente el 29-10-2026; no se presentan como adjuntos ya disponibles el 12-10.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NovaFit · Correcciones Fase 2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42B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de construcción</dc:title>
  <dc:subject/>
  <dc:creator>NovaFit Analytics Suite</dc:creator>
  <cp:keywords/>
  <dc:description>Edición documental; aprobación del equipo pendiente.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