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Minutas de reunión y fe de erratas</w:t>
      </w:r>
    </w:p>
    <w:p>
      <w:pPr>
        <w:pStyle w:val="Subtitle"/>
      </w:pPr>
      <w:r>
        <w:t>APT-04, APT-05 y APT-06 · Registro histórico con aclaraciones</w:t>
      </w:r>
    </w:p>
    <w:p>
      <w:r>
        <w:t>Edición documental corregida, 29-10-2026. Base de revisión: commit d86a6b6. Las comprobaciones de código son estáticas. Los resultados operativos, la aceptación y las aprobaciones requieren sus evidencias de ejecución.</w:t>
      </w:r>
    </w:p>
    <w:p>
      <w:pPr>
        <w:pStyle w:val="Heading1"/>
      </w:pPr>
      <w:r>
        <w:t>Fe de erratas documental del 29-10-2026</w:t>
      </w:r>
    </w:p>
    <w:p>
      <w:r>
        <w:t>La transcripción posterior conserva las actas originales, incluidas sus declaraciones no comprobadas. Para interpretar el estado vigente se aplican las aclaraciones de esta sección. No se alteran las fechas, autores o acuerdos históricos ni se fabrican ratificaciones.</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before="40"/>
            </w:pPr>
            <w:r>
              <w:rPr>
                <w:sz w:val="18"/>
              </w:rPr>
              <w:t>Registro / sección</w:t>
            </w:r>
          </w:p>
        </w:tc>
        <w:tc>
          <w:tcPr>
            <w:tcW w:type="dxa" w:w="4946"/>
          </w:tcPr>
          <w:p>
            <w:pPr>
              <w:spacing w:after="60" w:before="40"/>
            </w:pPr>
            <w:r>
              <w:rPr>
                <w:sz w:val="18"/>
              </w:rPr>
              <w:t>Aclaración vigente</w:t>
            </w:r>
          </w:p>
        </w:tc>
      </w:tr>
      <w:tr>
        <w:trPr>
          <w:cantSplit/>
        </w:trPr>
        <w:tc>
          <w:tcPr>
            <w:tcW w:type="dxa" w:w="4946"/>
          </w:tcPr>
          <w:p>
            <w:pPr>
              <w:spacing w:after="60" w:before="40"/>
            </w:pPr>
            <w:r>
              <w:rPr>
                <w:sz w:val="18"/>
              </w:rPr>
              <w:t>APT-04 / inicio oficial</w:t>
            </w:r>
          </w:p>
        </w:tc>
        <w:tc>
          <w:tcPr>
            <w:tcW w:type="dxa" w:w="4946"/>
          </w:tcPr>
          <w:p>
            <w:pPr>
              <w:spacing w:after="60" w:before="40"/>
            </w:pPr>
            <w:r>
              <w:rPr>
                <w:sz w:val="18"/>
              </w:rPr>
              <w:t>Reunión técnica del 15-09. El ciclo de construcción se reporta iniciado el 07-09.</w:t>
            </w:r>
          </w:p>
        </w:tc>
      </w:tr>
      <w:tr>
        <w:trPr>
          <w:cantSplit/>
        </w:trPr>
        <w:tc>
          <w:tcPr>
            <w:tcW w:type="dxa" w:w="4946"/>
          </w:tcPr>
          <w:p>
            <w:pPr>
              <w:spacing w:after="60" w:before="40"/>
            </w:pPr>
            <w:r>
              <w:rPr>
                <w:sz w:val="18"/>
              </w:rPr>
              <w:t>APT-05 / códigos de cambio</w:t>
            </w:r>
          </w:p>
        </w:tc>
        <w:tc>
          <w:tcPr>
            <w:tcW w:type="dxa" w:w="4946"/>
          </w:tcPr>
          <w:p>
            <w:pPr>
              <w:spacing w:after="60" w:before="40"/>
            </w:pPr>
            <w:r>
              <w:rPr>
                <w:sz w:val="18"/>
              </w:rPr>
              <w:t>La matriz original contiene cuatro cambios con datos: SC-01, paso de escritorio a web/móvil (18-08-2026); SC-02, Carta Gantt (25-08-2026); SC-03, honorarios de $12.500.000 CLP (06-09-2026); SC-04, roles (06-09-2026). Su estado «Aceptado» fue inferido en las notas originales, por lo que requiere ratificación documental. SC-05 (Zoho) y SC-06 (ACWR) se proponen para regularizar lo relatado en APT-05; no se consideran aprobados.</w:t>
            </w:r>
          </w:p>
        </w:tc>
      </w:tr>
      <w:tr>
        <w:trPr>
          <w:cantSplit/>
        </w:trPr>
        <w:tc>
          <w:tcPr>
            <w:tcW w:type="dxa" w:w="4946"/>
          </w:tcPr>
          <w:p>
            <w:pPr>
              <w:spacing w:after="60" w:before="40"/>
            </w:pPr>
            <w:r>
              <w:rPr>
                <w:sz w:val="18"/>
              </w:rPr>
              <w:t>APT-05 / ACWR</w:t>
            </w:r>
          </w:p>
        </w:tc>
        <w:tc>
          <w:tcPr>
            <w:tcW w:type="dxa" w:w="4946"/>
          </w:tcPr>
          <w:p>
            <w:pPr>
              <w:spacing w:after="60" w:before="40"/>
            </w:pPr>
            <w:r>
              <w:rPr>
                <w:sz w:val="18"/>
              </w:rPr>
              <w:t>La carga implementada suma peso_kg × repeticiones de las series válidas, excluyendo calentamiento. La carga aguda acumula 7 días y la crónica acumula 28 días. El promedio crónico semanal divide el volumen de 28 días por min(4, días de historial / 7). ACWR = volumen de 7 días / promedio crónico semanal. Con menos de 7 días se aplica la inicialización prevista en el servicio y pueden consultarse registros históricos; con denominador cero no se obtiene un ratio numérico. El RPE interviene por separado en el puntaje compuesto de fatiga, no multiplica el volumen del ACWR.</w:t>
            </w:r>
          </w:p>
        </w:tc>
      </w:tr>
      <w:tr>
        <w:trPr>
          <w:cantSplit/>
        </w:trPr>
        <w:tc>
          <w:tcPr>
            <w:tcW w:type="dxa" w:w="4946"/>
          </w:tcPr>
          <w:p>
            <w:pPr>
              <w:spacing w:after="60" w:before="40"/>
            </w:pPr>
            <w:r>
              <w:rPr>
                <w:sz w:val="18"/>
              </w:rPr>
              <w:t>APT-06 / pruebas</w:t>
            </w:r>
          </w:p>
        </w:tc>
        <w:tc>
          <w:tcPr>
            <w:tcW w:type="dxa" w:w="4946"/>
          </w:tcPr>
          <w:p>
            <w:pPr>
              <w:spacing w:after="60" w:before="40"/>
            </w:pPr>
            <w:r>
              <w:rPr>
                <w:sz w:val="18"/>
              </w:rPr>
              <w:t>El cierre original reportó 16 casos aprobados. El repositorio revisado no contiene el plan ejecutado ni sus resultados por caso. El ZIP incluye una función de prueba de integración de entrenamiento; su presencia no acredita su ejecución. Plan_Pruebas_y_Evidencias.xlsx propone 16 casos nuevos, todos pendientes de ejecución, y no reconstruye ni certifica el plan histórico.</w:t>
            </w:r>
          </w:p>
        </w:tc>
      </w:tr>
      <w:tr>
        <w:trPr>
          <w:cantSplit/>
        </w:trPr>
        <w:tc>
          <w:tcPr>
            <w:tcW w:type="dxa" w:w="4946"/>
          </w:tcPr>
          <w:p>
            <w:pPr>
              <w:spacing w:after="60" w:before="40"/>
            </w:pPr>
            <w:r>
              <w:rPr>
                <w:sz w:val="18"/>
              </w:rPr>
              <w:t>APT-06 / entrega y cierre</w:t>
            </w:r>
          </w:p>
        </w:tc>
        <w:tc>
          <w:tcPr>
            <w:tcW w:type="dxa" w:w="4946"/>
          </w:tcPr>
          <w:p>
            <w:pPr>
              <w:spacing w:after="60" w:before="40"/>
            </w:pPr>
            <w:r>
              <w:rPr>
                <w:sz w:val="18"/>
              </w:rPr>
              <w:t>Antes de certificar la entrega: adjuntar ejecución de pruebas, APK y datos de compilación, evidencia de restauración, aceptación de usuarios, mediciones de rendimiento y aprobación comercial. También quedan por validar la integración WhatsApp y el alcance de sueño/hidratación para Fase 3.</w:t>
            </w:r>
          </w:p>
        </w:tc>
      </w:tr>
      <w:tr>
        <w:trPr>
          <w:cantSplit/>
        </w:trPr>
        <w:tc>
          <w:tcPr>
            <w:tcW w:type="dxa" w:w="4946"/>
          </w:tcPr>
          <w:p>
            <w:pPr>
              <w:spacing w:after="60" w:before="40"/>
            </w:pPr>
            <w:r>
              <w:rPr>
                <w:sz w:val="18"/>
              </w:rPr>
              <w:t>Aprobaciones</w:t>
            </w:r>
          </w:p>
        </w:tc>
        <w:tc>
          <w:tcPr>
            <w:tcW w:type="dxa" w:w="4946"/>
          </w:tcPr>
          <w:p>
            <w:pPr>
              <w:spacing w:after="60" w:before="40"/>
            </w:pPr>
            <w:r>
              <w:rPr>
                <w:sz w:val="18"/>
              </w:rPr>
              <w:t>Las inferencias de aceptación de la matriz requieren ratificación. Esta fe de erratas no equivale a aprobación del docente.</w:t>
            </w:r>
          </w:p>
        </w:tc>
      </w:tr>
    </w:tbl>
    <w:p>
      <w:r>
        <w:br w:type="page"/>
      </w:r>
    </w:p>
    <w:p>
      <w:pPr>
        <w:pStyle w:val="Heading1"/>
      </w:pPr>
      <w:r>
        <w:t>Transcripción histórica conservada</w:t>
      </w:r>
    </w:p>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- 04</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Planificación Técnica de Construcción y Arquitectura Relacional Fase 2</w:t>
            </w:r>
          </w:p>
        </w:tc>
        <w:tc>
          <w:tcPr>
            <w:tcBorders>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Yulian Silva</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15-09-2026</w:t>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4">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2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9">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02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E">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02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33">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034">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5">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6">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7">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38">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039">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A">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B">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C">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E">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blHeader w:val="0"/>
        </w:trPr>
        <w:tc>
          <w:tcPr>
            <w:tcBorders>
              <w:top w:color="000000" w:space="0" w:sz="6" w:val="single"/>
              <w:left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Revisión de la retroalimentación recibida en Fase 1 por parte de la comisión y el docente guía.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Definición del estándar arquitectónico del backend: FastAPI con SQLAlchemy 2.0 asíncrono y PostgreSQL 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Estructuración del esquema de datos relacional con control estricto de llaves foráneas.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Selección e inicio de la investigación técnica de la pasarela de pagos digitales (Mercado Pago SDK vs Transbank Webpay).</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04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blHeader w:val="0"/>
        </w:trPr>
        <w:tc>
          <w:tcPr/>
          <w:p w:rsidR="00000000" w:rsidDel="00000000" w:rsidP="00000000" w:rsidRDefault="00000000" w:rsidRPr="00000000" w14:paraId="00000045">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 dio inicio oficial a la Fase 2 de Desarrollo del proyecto NovaFit Analytics Suite. Se revisaron los requerimientos del ERS y se estableció que el desarrollo se dividirá en tres frentes simultáneos: Arquitectura de Datos y Backend (liderado por Vicente Gilbert y Yulian Silva), Frontend Web y App Móvil (liderado por Antonio Maturana), y Aseguramiento de Calidad y Gestión de Riesgos (liderado por Steven San Martín y Felipe Romero). Se resolvió adoptar Mercado Pago Checkout Pro debido a su facilidad de generación de Preferences dinámicas y al soporte de Webhooks en tiempo real, lo cual permite prescindir de contratos complejos de adquirencia bancaria directa en una etapa inicial SaaS.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D">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E">
            <w:pPr>
              <w:numPr>
                <w:ilvl w:val="5"/>
                <w:numId w:val="1"/>
              </w:numPr>
              <w:ind w:left="0"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Selección de Pasarela</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0">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Adoptar oficialmente Mercado Pago como pasarela primaria de recaudación para el módulo de membresías.</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Normalización de Datos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2">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Estructurar el esquema relacional con auditoría contable inmutable y llaves foráneas estrictas.</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Framework de Desarrollo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Estandarizar el backend en FastAPI (Python 3.11+) con validaciones Pydantic v2 y control de migraciones vía Alembic.</w:t>
            </w:r>
          </w:p>
        </w:tc>
      </w:tr>
    </w:tbl>
    <w:p w:rsidR="00000000" w:rsidDel="00000000" w:rsidP="00000000" w:rsidRDefault="00000000" w:rsidRPr="00000000" w14:paraId="00000055">
      <w:pPr>
        <w:numPr>
          <w:ilvl w:val="5"/>
          <w:numId w:val="1"/>
        </w:numPr>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9">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Crear el repositorio de migraciones Alembic y el esquema base de la base de datos.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20-09-2026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F">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Levantar el servidor base FastAPI con middleware de CORS y autenticación JWT.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22-09-2026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Vicente Gilbert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Diseñar el mockup de alta fidelidad para el módulo de facturación web.</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3">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23-09-2026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5">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Definir la matriz inicial de riesgos técnicos de desarrollo (Fase 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24-09-2026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7">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Felipe Romero / Steven San Martín</w:t>
            </w:r>
          </w:p>
        </w:tc>
      </w:tr>
    </w:tbl>
    <w:p w:rsidR="00000000" w:rsidDel="00000000" w:rsidP="00000000" w:rsidRDefault="00000000" w:rsidRPr="00000000" w14:paraId="00000068">
      <w:pPr>
        <w:numPr>
          <w:ilvl w:val="5"/>
          <w:numId w:val="1"/>
        </w:numPr>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069">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blHeader w:val="0"/>
        </w:trPr>
        <w:tc>
          <w:tcPr/>
          <w:p w:rsidR="00000000" w:rsidDel="00000000" w:rsidP="00000000" w:rsidRDefault="00000000" w:rsidRPr="00000000" w14:paraId="0000006A">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Se debe prestar especial atención a la integridad referencial en las tablas financieras (invoices y transacciones), asegurando que bajo ninguna circunstancia se puedan eliminar físicamente registros de cobro con transacciones asociadas (ON DELETE RESTRICT).</w:t>
            </w:r>
            <w:r w:rsidDel="00000000" w:rsidR="00000000" w:rsidRPr="00000000">
              <w:rPr>
                <w:rtl w:val="0"/>
              </w:rPr>
            </w:r>
          </w:p>
        </w:tc>
      </w:tr>
    </w:tbl>
    <w:p w:rsidR="00000000" w:rsidDel="00000000" w:rsidP="00000000" w:rsidRDefault="00000000" w:rsidRPr="00000000" w14:paraId="0000006B">
      <w:pPr>
        <w:numPr>
          <w:ilvl w:val="5"/>
          <w:numId w:val="1"/>
        </w:numPr>
        <w:rPr/>
      </w:pPr>
      <w:r w:rsidDel="00000000" w:rsidR="00000000" w:rsidRPr="00000000">
        <w:rPr>
          <w:rtl w:val="0"/>
        </w:rPr>
      </w:r>
    </w:p>
    <w:p w:rsidR="00000000" w:rsidDel="00000000" w:rsidP="00000000" w:rsidRDefault="00000000" w:rsidRPr="00000000" w14:paraId="0000006C">
      <w:pPr>
        <w:pStyle w:val="Title"/>
        <w:pageBreakBefore w:val="1"/>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6D">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7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7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7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7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77">
            <w:pPr>
              <w:rPr>
                <w:rFonts w:ascii="Tahoma" w:cs="Tahoma" w:eastAsia="Tahoma" w:hAnsi="Tahoma"/>
              </w:rPr>
            </w:pPr>
            <w:r w:rsidDel="00000000" w:rsidR="00000000" w:rsidRPr="00000000">
              <w:rPr>
                <w:rFonts w:ascii="Tahoma" w:cs="Tahoma" w:eastAsia="Tahoma" w:hAnsi="Tahoma"/>
                <w:rtl w:val="0"/>
              </w:rPr>
              <w:t xml:space="preserve">APT - 05</w:t>
            </w:r>
          </w:p>
        </w:tc>
        <w:tc>
          <w:tcPr>
            <w:tcBorders>
              <w:bottom w:color="000000" w:space="0" w:sz="4" w:val="single"/>
            </w:tcBorders>
          </w:tcPr>
          <w:p w:rsidR="00000000" w:rsidDel="00000000" w:rsidP="00000000" w:rsidRDefault="00000000" w:rsidRPr="00000000" w14:paraId="00000078">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Avance de Integraciones: Mercado Pago, Zoho Mail REST API y Motor ACWR</w:t>
            </w:r>
          </w:p>
        </w:tc>
        <w:tc>
          <w:tcPr>
            <w:tcBorders>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Felipe Romero Díaz</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7C">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7E">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7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81">
            <w:pPr>
              <w:jc w:val="center"/>
              <w:rPr>
                <w:rFonts w:ascii="Tahoma" w:cs="Tahoma" w:eastAsia="Tahoma" w:hAnsi="Tahoma"/>
              </w:rPr>
            </w:pPr>
            <w:r w:rsidDel="00000000" w:rsidR="00000000" w:rsidRPr="00000000">
              <w:rPr>
                <w:rFonts w:ascii="Tahoma" w:cs="Tahoma" w:eastAsia="Tahoma" w:hAnsi="Tahoma"/>
                <w:rtl w:val="0"/>
              </w:rPr>
              <w:t xml:space="preserve">28-09-2026</w:t>
            </w:r>
          </w:p>
        </w:tc>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7">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B">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C">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D">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E">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8F">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90">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1">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2">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3">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4">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09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9">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09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E">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09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A3">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0A4">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5">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6">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7">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A9">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blHeader w:val="0"/>
        </w:trPr>
        <w:tc>
          <w:tcPr>
            <w:tcBorders>
              <w:top w:color="000000" w:space="0" w:sz="6" w:val="single"/>
              <w:left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Estado de la integración de Mercado Pago Checkout Pro y del Webhook IPN.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Análisis y resolución del incidente en Render: fallas de Timeout en el transporte SMTP tradicional.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Decisión técnica: migración a la API REST oficial de Zoho Mail con OAuth2.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Modelamiento matemático del algoritmo ACWR (Acute:Chronic Workload Ratio) para la prevención de lesiones.</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0AF">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blHeader w:val="0"/>
        </w:trPr>
        <w:tc>
          <w:tcPr/>
          <w:p w:rsidR="00000000" w:rsidDel="00000000" w:rsidP="00000000" w:rsidRDefault="00000000" w:rsidRPr="00000000" w14:paraId="000000B0">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El equipo técnico presentó los avances en la conexión con la pasarela de pagos. Se comprobó la emisión exitosa de cobros digitales con enlaces únicos a Mercado Pago. No obstante, durante las pruebas en el entorno de despliegue Render, se detectaron errores de conexión (TimeoutError) al intentar enviar correos electrónicos de confirmación mediante el protocolo SMTP tradicional (puertos 465/587 bloqueados intermitentemente por políticas de red). Se acordó sustituir de inmediato el transporte SMTP por la API REST oficial de Zoho Mail bajo autenticación OAuth2, eliminando cualquier bloqueo de puertos. Adicionalmente, se revisó la formulación del motor ACWR: se acordó calcular la carga aguda sobre los últimos 7 días y la carga crónica sobre los últimos 28 días, disparando automáticamente una alerta de «Atleta en Riesgo» cuando el ratio supere 1,5.</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2"/>
        <w:tblW w:w="10348.0" w:type="dxa"/>
        <w:jc w:val="left"/>
        <w:tblInd w:w="-127.0" w:type="dxa"/>
        <w:tblLayout w:type="fixed"/>
        <w:tblLook w:val="0000"/>
      </w:tblPr>
      <w:tblGrid>
        <w:gridCol w:w="2977"/>
        <w:gridCol w:w="7371"/>
        <w:tblGridChange w:id="0">
          <w:tblGrid>
            <w:gridCol w:w="2977"/>
            <w:gridCol w:w="7371"/>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7">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8">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B9">
            <w:pPr>
              <w:numPr>
                <w:ilvl w:val="5"/>
                <w:numId w:val="1"/>
              </w:numPr>
              <w:ind w:left="0"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Sustitución SMTP</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Reemplazar el protocolo SMTP por la API REST oficial de Zoho Mail con cliente asíncrono y reintentos (SC-02).</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Lógica ACWR</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D">
            <w:pPr>
              <w:spacing w:after="120" w:lineRule="auto"/>
              <w:jc w:val="both"/>
              <w:rPr>
                <w:rFonts w:ascii="Tahoma" w:cs="Tahoma" w:eastAsia="Tahoma" w:hAnsi="Tahoma"/>
              </w:rPr>
            </w:pPr>
            <w:r w:rsidDel="00000000" w:rsidR="00000000" w:rsidRPr="00000000">
              <w:rPr>
                <w:rFonts w:ascii="Tahoma" w:cs="Tahoma" w:eastAsia="Tahoma" w:hAnsi="Tahoma"/>
                <w:rtl w:val="0"/>
              </w:rPr>
              <w:t xml:space="preserve">Fijar el umbral de alerta en ACWR &gt; 1,5, notificando vía correo y push móvil al entrenador y al deportista (SC-03).</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Webhooks IPN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Implementar la verificación de firmas en el endpoint de webhooks de Mercado Pago para evitar pagos apócrifos.</w:t>
            </w:r>
          </w:p>
        </w:tc>
      </w:tr>
    </w:tbl>
    <w:p w:rsidR="00000000" w:rsidDel="00000000" w:rsidP="00000000" w:rsidRDefault="00000000" w:rsidRPr="00000000" w14:paraId="000000C0">
      <w:pPr>
        <w:numPr>
          <w:ilvl w:val="5"/>
          <w:numId w:val="1"/>
        </w:numPr>
        <w:rPr/>
      </w:pPr>
      <w:r w:rsidDel="00000000" w:rsidR="00000000" w:rsidRPr="00000000">
        <w:rPr>
          <w:rtl w:val="0"/>
        </w:rPr>
      </w:r>
    </w:p>
    <w:tbl>
      <w:tblPr>
        <w:tblStyle w:val="Table13"/>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4">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7">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Implementar el cliente Zoho Mail API con OAuth2 y reintentos asíncronos.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8">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9">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Vicente Gilbert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A">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Implementar los endpoints del motor analítico ACWR y la tabla acwr_records.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B">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03-10-2026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C">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 / Vicente Gilbert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D">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Configurar el listener de notificaciones push en la app móvil Expo.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E">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04-10-2026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F">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0">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Diseñar los casos de prueba de integración de pagos y cálculo de fatiga.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1">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05-10-2026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2">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Steven San Martín</w:t>
            </w:r>
          </w:p>
        </w:tc>
      </w:tr>
    </w:tbl>
    <w:p w:rsidR="00000000" w:rsidDel="00000000" w:rsidP="00000000" w:rsidRDefault="00000000" w:rsidRPr="00000000" w14:paraId="000000D3">
      <w:pPr>
        <w:numPr>
          <w:ilvl w:val="5"/>
          <w:numId w:val="1"/>
        </w:numPr>
        <w:rPr/>
      </w:pPr>
      <w:r w:rsidDel="00000000" w:rsidR="00000000" w:rsidRPr="00000000">
        <w:rPr>
          <w:rtl w:val="0"/>
        </w:rPr>
      </w:r>
    </w:p>
    <w:tbl>
      <w:tblPr>
        <w:tblStyle w:val="Table1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0D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blHeader w:val="0"/>
        </w:trPr>
        <w:tc>
          <w:tcPr/>
          <w:p w:rsidR="00000000" w:rsidDel="00000000" w:rsidP="00000000" w:rsidRDefault="00000000" w:rsidRPr="00000000" w14:paraId="000000D5">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La sustitución de SMTP por la API REST de Zoho Mail representa una mejora sustancial en confiabilidad y tiempo de respuesta en producción. Esta modificación se formalizó en la Matriz de Control de Cambio como SC-02.</w:t>
            </w:r>
            <w:r w:rsidDel="00000000" w:rsidR="00000000" w:rsidRPr="00000000">
              <w:rPr>
                <w:rtl w:val="0"/>
              </w:rPr>
            </w:r>
          </w:p>
        </w:tc>
      </w:tr>
    </w:tbl>
    <w:p w:rsidR="00000000" w:rsidDel="00000000" w:rsidP="00000000" w:rsidRDefault="00000000" w:rsidRPr="00000000" w14:paraId="000000D6">
      <w:pPr>
        <w:numPr>
          <w:ilvl w:val="5"/>
          <w:numId w:val="1"/>
        </w:numPr>
        <w:rPr/>
      </w:pPr>
      <w:r w:rsidDel="00000000" w:rsidR="00000000" w:rsidRPr="00000000">
        <w:rPr>
          <w:rtl w:val="0"/>
        </w:rPr>
      </w:r>
    </w:p>
    <w:p w:rsidR="00000000" w:rsidDel="00000000" w:rsidP="00000000" w:rsidRDefault="00000000" w:rsidRPr="00000000" w14:paraId="000000D7">
      <w:pPr>
        <w:pStyle w:val="Title"/>
        <w:pageBreakBefore w:val="1"/>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5"/>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D8">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DD">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DE">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D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E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E2">
            <w:pPr>
              <w:rPr>
                <w:rFonts w:ascii="Tahoma" w:cs="Tahoma" w:eastAsia="Tahoma" w:hAnsi="Tahoma"/>
              </w:rPr>
            </w:pPr>
            <w:r w:rsidDel="00000000" w:rsidR="00000000" w:rsidRPr="00000000">
              <w:rPr>
                <w:rFonts w:ascii="Tahoma" w:cs="Tahoma" w:eastAsia="Tahoma" w:hAnsi="Tahoma"/>
                <w:rtl w:val="0"/>
              </w:rPr>
              <w:t xml:space="preserve">APT - 06</w:t>
            </w:r>
          </w:p>
        </w:tc>
        <w:tc>
          <w:tcPr>
            <w:tcBorders>
              <w:bottom w:color="000000" w:space="0" w:sz="4" w:val="single"/>
            </w:tcBorders>
          </w:tcPr>
          <w:p w:rsidR="00000000" w:rsidDel="00000000" w:rsidP="00000000" w:rsidRDefault="00000000" w:rsidRPr="00000000" w14:paraId="000000E3">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Validación de Pruebas Integrales, Compilación Android y Cierre de Fase 2</w:t>
            </w:r>
          </w:p>
        </w:tc>
        <w:tc>
          <w:tcPr>
            <w:tcBorders>
              <w:bottom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Steven San Martín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E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E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EA">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EC">
            <w:pPr>
              <w:jc w:val="center"/>
              <w:rPr>
                <w:rFonts w:ascii="Tahoma" w:cs="Tahoma" w:eastAsia="Tahoma" w:hAnsi="Tahoma"/>
              </w:rPr>
            </w:pPr>
            <w:r w:rsidDel="00000000" w:rsidR="00000000" w:rsidRPr="00000000">
              <w:rPr>
                <w:rFonts w:ascii="Tahoma" w:cs="Tahoma" w:eastAsia="Tahoma" w:hAnsi="Tahoma"/>
                <w:rtl w:val="0"/>
              </w:rPr>
              <w:t xml:space="preserve">09-10-2026</w:t>
            </w:r>
          </w:p>
        </w:tc>
        <w:tc>
          <w:tcPr>
            <w:tcBorders>
              <w:bottom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6">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7">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8">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9">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FA">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FB">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C">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D">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E">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FF">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100">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1">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2">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3">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4">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10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9">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10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E">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10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114">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blHeader w:val="0"/>
        </w:trPr>
        <w:tc>
          <w:tcPr>
            <w:tcBorders>
              <w:top w:color="000000" w:space="0" w:sz="6" w:val="single"/>
              <w:left w:color="00000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Presentación de los resultados de ejecución del Plan de Pruebas de Software NovaFit (16 casos).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Verificación del flujo de cobro «Enviar cobro al correo» y conciliación con Mercado Pago.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Validación de la compilación APK Android en Expo con notificaciones push operativas.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Consolidación de las evidencias documentales de Fase 2: DAS, Diccionario de Datos, Procesos de Negocio y Matrices.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5. Cierre formal de la Fase 2 y preparación de la entrega al docente evaluador.</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11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blHeader w:val="0"/>
        </w:trPr>
        <w:tc>
          <w:tcPr/>
          <w:p w:rsidR="00000000" w:rsidDel="00000000" w:rsidP="00000000" w:rsidRDefault="00000000" w:rsidRPr="00000000" w14:paraId="0000011C">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 llevó a cabo la sesión de cierre y aseguramiento de calidad de la Fase 2. El analista QA Steven San Martín presentó la matriz del Plan de Pruebas, certificando la ejecución y aprobación de los 16 casos de prueba (100% de efectividad). Se probó en vivo el flujo completo: creación de cliente, asignación de plan de membresía, emisión de cobro mediante la acción rápida con envío de correo formal por Zoho Mail, simulación de pago en el sandbox de Mercado Pago, confirmación desatendida mediante Webhook IPN y verificación de la membresía activa. En la app móvil se constató la recepción de notificaciones push de rutinas y de la alerta preventiva ACWR. Finalmente, se revisaron todos los documentos grupales requeridos para constatar que cumplen con el lenguaje de negocio y el estándar institucional de Duoc UC.</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19"/>
        <w:tblW w:w="10348.0" w:type="dxa"/>
        <w:jc w:val="left"/>
        <w:tblInd w:w="-127.0" w:type="dxa"/>
        <w:tblLayout w:type="fixed"/>
        <w:tblLook w:val="0000"/>
      </w:tblPr>
      <w:tblGrid>
        <w:gridCol w:w="2977"/>
        <w:gridCol w:w="7371"/>
        <w:tblGridChange w:id="0">
          <w:tblGrid>
            <w:gridCol w:w="2977"/>
            <w:gridCol w:w="7371"/>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4">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125">
            <w:pPr>
              <w:numPr>
                <w:ilvl w:val="5"/>
                <w:numId w:val="1"/>
              </w:numPr>
              <w:ind w:left="0" w:firstLine="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Aprobación de Calidad</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7">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Aprobar formalmente los 16 casos de prueba como evidencia técnica concluyente de la Fase 2.</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Cierre de Solicitudes de Cambio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9">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Consolidar las 10 Solicitudes de Cambio (SC-01 a SC-10) con estado Aceptado en la Matriz de Control de Cambio.</w:t>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Entrega Documental</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Consolidar las carpetas Evidencias Grupales y Evidencias Proyecto para la entrega oficial de la Fase 2.</w:t>
            </w:r>
          </w:p>
        </w:tc>
      </w:tr>
    </w:tbl>
    <w:p w:rsidR="00000000" w:rsidDel="00000000" w:rsidP="00000000" w:rsidRDefault="00000000" w:rsidRPr="00000000" w14:paraId="0000012C">
      <w:pPr>
        <w:numPr>
          <w:ilvl w:val="5"/>
          <w:numId w:val="1"/>
        </w:numPr>
        <w:rPr/>
      </w:pPr>
      <w:r w:rsidDel="00000000" w:rsidR="00000000" w:rsidRPr="00000000">
        <w:rPr>
          <w:rtl w:val="0"/>
        </w:rPr>
      </w:r>
    </w:p>
    <w:tbl>
      <w:tblPr>
        <w:tblStyle w:val="Table20"/>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3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3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3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3">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Generar el empaquetado final de evidencias y el respaldo de la base de datos.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4">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5">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Felipe Romero Díaz</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6">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Actualizar el diagrama relacional y las especificaciones de tablas en el DAS.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7">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8">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9">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Generar el APK de demostración y subir los artefactos al repositorio oficial.</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A">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12-10-2026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B">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bl>
    <w:p w:rsidR="00000000" w:rsidDel="00000000" w:rsidP="00000000" w:rsidRDefault="00000000" w:rsidRPr="00000000" w14:paraId="0000013C">
      <w:pPr>
        <w:numPr>
          <w:ilvl w:val="5"/>
          <w:numId w:val="1"/>
        </w:numPr>
        <w:rPr/>
      </w:pPr>
      <w:r w:rsidDel="00000000" w:rsidR="00000000" w:rsidRPr="00000000">
        <w:rPr>
          <w:rtl w:val="0"/>
        </w:rPr>
      </w:r>
    </w:p>
    <w:tbl>
      <w:tblPr>
        <w:tblStyle w:val="Table2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blHeader w:val="0"/>
        </w:trPr>
        <w:tc>
          <w:tcPr>
            <w:shd w:fill="cccccc" w:val="clear"/>
          </w:tcPr>
          <w:p w:rsidR="00000000" w:rsidDel="00000000" w:rsidP="00000000" w:rsidRDefault="00000000" w:rsidRPr="00000000" w14:paraId="000001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blHeader w:val="0"/>
        </w:trPr>
        <w:tc>
          <w:tcPr/>
          <w:p w:rsidR="00000000" w:rsidDel="00000000" w:rsidP="00000000" w:rsidRDefault="00000000" w:rsidRPr="00000000" w14:paraId="0000013E">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El proyecto NovaFit Analytics Suite se encuentra alineado con los objetivos de aprendizaje de la Fase 2. La integración entre el frontend web, el backend API, la base de datos y la app móvil se encuentra funcional y verificada.</w:t>
            </w:r>
            <w:r w:rsidDel="00000000" w:rsidR="00000000" w:rsidRPr="00000000">
              <w:rPr>
                <w:rtl w:val="0"/>
              </w:rPr>
            </w:r>
          </w:p>
        </w:tc>
      </w:tr>
    </w:tbl>
    <w:p w:rsidR="00000000" w:rsidDel="00000000" w:rsidP="00000000" w:rsidRDefault="00000000" w:rsidRPr="00000000" w14:paraId="0000013F">
      <w:pPr>
        <w:numPr>
          <w:ilvl w:val="5"/>
          <w:numId w:val="1"/>
        </w:numPr>
        <w:rPr/>
      </w:pPr>
      <w:r w:rsidDel="00000000" w:rsidR="00000000" w:rsidRPr="00000000">
        <w:rPr>
          <w:rtl w:val="0"/>
        </w:rPr>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NovaFit · Correcciones Fase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B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B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42B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Minutas de reunión y fe de erratas</dc:title>
  <dc:subject/>
  <dc:creator>NovaFit Analytics Suite</dc:creator>
  <cp:keywords/>
  <dc:description>Edición documental; aprobación del equipo pendiente.</dc:description>
  <cp:lastModifiedBy/>
  <cp:revision>1</cp:revision>
  <dcterms:created xsi:type="dcterms:W3CDTF">2013-12-23T23:15:00Z</dcterms:created>
  <dcterms:modified xsi:type="dcterms:W3CDTF">2013-12-23T23:15:00Z</dcterms:modified>
  <cp:category/>
</cp:coreProperties>
</file>