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Procesos de negocio</w:t>
      </w:r>
    </w:p>
    <w:p>
      <w:pPr>
        <w:pStyle w:val="Subtitle"/>
      </w:pPr>
      <w:r>
        <w:t>AS-IS, TO-BE y criterios de validación · Fase 2</w:t>
      </w:r>
    </w:p>
    <w:p>
      <w:r>
        <w:t>Edición documental corregida, 29-10-2026. Base de revisión: commit d86a6b6. Las comprobaciones de código son estáticas. Los resultados operativos, la aceptación y las aprobaciones requieren sus evidencias de ejecución.</w:t>
      </w:r>
    </w:p>
    <w:p>
      <w:pPr>
        <w:pStyle w:val="Heading1"/>
      </w:pPr>
      <w:r>
        <w:t>1. Alcance del modelamiento</w:t>
      </w:r>
    </w:p>
    <w:p>
      <w:r>
        <w:t>Los procesos AS-IS describen el problema planteado por el proyecto. No constituyen un estudio de tiempos observado. Los TO-BE son especificaciones de flujo y se contrastan con el código, sin sustituir pruebas de aceptación.</w:t>
      </w:r>
    </w:p>
    <w:p>
      <w:r>
        <w:t>Panel administrativo multisucursal, administración de usuarios y membresías, facturación y conciliación de pagos, planificación de rutinas y sesiones, aplicación móvil para registrar entrenamiento y analítica de carga. Se excluyen torniquetes, wearables y diagnóstico médico. La disponibilidad real de cada capacidad debe demostrarse mediante pruebas y aceptación.</w:t>
      </w:r>
    </w:p>
    <w:p>
      <w:pPr>
        <w:pStyle w:val="Heading1"/>
      </w:pPr>
      <w:r>
        <w:t>2. Afiliación, cobro y membresía</w:t>
      </w:r>
    </w:p>
    <w:p>
      <w:r>
        <w:t>AS-IS: Recepción registra al socio, recibe comprobante, verifica el pago y controla vencimientos manualmente.</w:t>
      </w:r>
    </w:p>
    <w:p>
      <w:r>
        <w:t>TO-BE: Administrador selecciona usuario y plan; emite factura y enlace; atleta paga; proveedor notifica; backend valida autenticidad y consulta pago; concilia una sola vez; actualiza membresía; registra evento y notifica.</w:t>
      </w:r>
    </w:p>
    <w:p>
      <w:r>
        <w:t>Excepciones: Firma inválida o ausente: rechazo requerido. Pago pendiente/rechazado: conservar factura no pagada. Evento duplicado: sin segundo efecto. Error del proveedor: registrar y reconciliar posteriormente.</w:t>
      </w:r>
    </w:p>
    <w:p>
      <w:r>
        <w:t>El endpoint implementado es /api/v1/webhooks/mercadopago. La verificación de firma depende de recibir todos los encabezados y el identificador requeridos; la rama sin esos datos continúa el procesamiento. Por tanto, la verificación obligatoria y el rechazo de solicitudes sin firma son requisitos pendientes de corrección y prueba, no garantías acreditadas.</w:t>
      </w:r>
    </w:p>
    <w:p>
      <w:r>
        <w:t>El diagrama del documento original se conserva en la evidencia histórica. La secuencia anterior corrige su interpretación y evita tratar un flujo de negocio como prueba de implementación.</w:t>
      </w:r>
    </w:p>
    <w:p>
      <w:pPr>
        <w:pStyle w:val="Heading1"/>
      </w:pPr>
      <w:r>
        <w:t>3. Planificación y entrega de rutinas</w:t>
      </w:r>
    </w:p>
    <w:p>
      <w:r>
        <w:t>AS-IS: Entrenador organiza ejercicios en fichas sin historial centralizado.</w:t>
      </w:r>
    </w:p>
    <w:p>
      <w:r>
        <w:t>TO-BE: Entrenador crea plantilla, mesociclo y microciclos; asigna al atleta; aplicación consulta la sesión; atleta revisa ejercicios y registra ejecución.</w:t>
      </w:r>
    </w:p>
    <w:p>
      <w:r>
        <w:t>Excepciones: Sin autorización: denegar acceso. Asignación inválida: informar error y conservar estado previo. Sin conexión: informar fallo y no afirmar sincronización offline verificada.</w:t>
      </w:r>
    </w:p>
    <w:p>
      <w:r>
        <w:t>Las asignaciones y notificaciones deben validarse con usuarios y dispositivos reales.</w:t>
      </w:r>
    </w:p>
    <w:p>
      <w:r>
        <w:t>El diagrama del documento original se conserva en la evidencia histórica. La secuencia anterior corrige su interpretación y evita tratar un flujo de negocio como prueba de implementación.</w:t>
      </w:r>
    </w:p>
    <w:p>
      <w:pPr>
        <w:pStyle w:val="Heading1"/>
      </w:pPr>
      <w:r>
        <w:t>4. Registro de entrenamiento y evaluación de carga</w:t>
      </w:r>
    </w:p>
    <w:p>
      <w:r>
        <w:t>AS-IS: Los datos de series y carga pueden quedar dispersos o sin registrar.</w:t>
      </w:r>
    </w:p>
    <w:p>
      <w:r>
        <w:t>TO-BE: Atleta registra peso, repeticiones y RPE; API valida; persiste series; servicio consulta historial; calcula ACWR y puntaje; guarda indicadores; evalúa alerta; entrenador revisa el resultado.</w:t>
      </w:r>
    </w:p>
    <w:p>
      <w:r>
        <w:t>Excepciones: Historial insuficiente: inicialización. Volumen crónico cero: ratio no disponible. Notificación fallida: registrar y comprobar reintento sin duplicidad.</w:t>
      </w:r>
    </w:p>
    <w:p>
      <w:r>
        <w:t>La carga implementada suma peso_kg × repeticiones de las series válidas, excluyendo calentamiento. La carga aguda acumula 7 días y la crónica acumula 28 días. El promedio crónico semanal divide el volumen de 28 días por min(4, días de historial / 7). ACWR = volumen de 7 días / promedio crónico semanal. Con menos de 7 días se aplica la inicialización prevista en el servicio y pueden consultarse registros históricos; con denominador cero no se obtiene un ratio numérico. El RPE interviene por separado en el puntaje compuesto de fatiga, no multiplica el volumen del ACWR.</w:t>
      </w:r>
    </w:p>
    <w:p>
      <w:r>
        <w:t>El diagrama del documento original se conserva en la evidencia histórica. La secuencia anterior corrige su interpretación y evita tratar un flujo de negocio como prueba de implementación.</w:t>
      </w:r>
    </w:p>
    <w:p>
      <w:pPr>
        <w:pStyle w:val="Heading1"/>
      </w:pPr>
      <w:r>
        <w:t>5. Beneficios y medición</w:t>
      </w:r>
    </w:p>
    <w:p>
      <w:r>
        <w:t>Los beneficios siguientes son esperados. La monetización de ahorro no se incorpora como ingreso al flujo de caja del proveedor. Las metas del Acta deben validarse con una línea base y un período comparable.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tblHeader/>
          <w:cantSplit/>
        </w:trPr>
        <w:tc>
          <w:tcPr>
            <w:tcW w:type="dxa" w:w="2473"/>
          </w:tcPr>
          <w:p>
            <w:pPr>
              <w:spacing w:after="60" w:before="40"/>
            </w:pPr>
            <w:r>
              <w:rPr>
                <w:sz w:val="16"/>
              </w:rPr>
              <w:t>Área</w:t>
            </w:r>
          </w:p>
        </w:tc>
        <w:tc>
          <w:tcPr>
            <w:tcW w:type="dxa" w:w="2473"/>
          </w:tcPr>
          <w:p>
            <w:pPr>
              <w:spacing w:after="60" w:before="40"/>
            </w:pPr>
            <w:r>
              <w:rPr>
                <w:sz w:val="16"/>
              </w:rPr>
              <w:t>Beneficio</w:t>
            </w:r>
          </w:p>
        </w:tc>
        <w:tc>
          <w:tcPr>
            <w:tcW w:type="dxa" w:w="2473"/>
          </w:tcPr>
          <w:p>
            <w:pPr>
              <w:spacing w:after="60" w:before="40"/>
            </w:pPr>
            <w:r>
              <w:rPr>
                <w:sz w:val="16"/>
              </w:rPr>
              <w:t>Indicador</w:t>
            </w:r>
          </w:p>
        </w:tc>
        <w:tc>
          <w:tcPr>
            <w:tcW w:type="dxa" w:w="2473"/>
          </w:tcPr>
          <w:p>
            <w:pPr>
              <w:spacing w:after="60" w:before="40"/>
            </w:pPr>
            <w:r>
              <w:rPr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2473"/>
          </w:tcPr>
          <w:p>
            <w:pPr>
              <w:spacing w:after="60" w:before="40"/>
            </w:pPr>
            <w:r>
              <w:rPr>
                <w:sz w:val="16"/>
              </w:rPr>
              <w:t>Administración</w:t>
            </w:r>
          </w:p>
        </w:tc>
        <w:tc>
          <w:tcPr>
            <w:tcW w:type="dxa" w:w="2473"/>
          </w:tcPr>
          <w:p>
            <w:pPr>
              <w:spacing w:after="60" w:before="40"/>
            </w:pPr>
            <w:r>
              <w:rPr>
                <w:sz w:val="16"/>
              </w:rPr>
              <w:t>Reducir tiempo administrativo</w:t>
            </w:r>
          </w:p>
        </w:tc>
        <w:tc>
          <w:tcPr>
            <w:tcW w:type="dxa" w:w="2473"/>
          </w:tcPr>
          <w:p>
            <w:pPr>
              <w:spacing w:after="60" w:before="40"/>
            </w:pPr>
            <w:r>
              <w:rPr>
                <w:sz w:val="16"/>
              </w:rPr>
              <w:t>Minutos por operación antes/después; mediana y muestra</w:t>
            </w:r>
          </w:p>
        </w:tc>
        <w:tc>
          <w:tcPr>
            <w:tcW w:type="dxa" w:w="2473"/>
          </w:tcPr>
          <w:p>
            <w:pPr>
              <w:spacing w:after="60" w:before="40"/>
            </w:pPr>
            <w:r>
              <w:rPr>
                <w:sz w:val="16"/>
              </w:rPr>
              <w:t>Meta de Acta: reducción 60%; sin medición</w:t>
            </w:r>
          </w:p>
        </w:tc>
      </w:tr>
      <w:tr>
        <w:trPr>
          <w:cantSplit/>
        </w:trPr>
        <w:tc>
          <w:tcPr>
            <w:tcW w:type="dxa" w:w="2473"/>
          </w:tcPr>
          <w:p>
            <w:pPr>
              <w:spacing w:after="60" w:before="40"/>
            </w:pPr>
            <w:r>
              <w:rPr>
                <w:sz w:val="16"/>
              </w:rPr>
              <w:t>Cobranza</w:t>
            </w:r>
          </w:p>
        </w:tc>
        <w:tc>
          <w:tcPr>
            <w:tcW w:type="dxa" w:w="2473"/>
          </w:tcPr>
          <w:p>
            <w:pPr>
              <w:spacing w:after="60" w:before="40"/>
            </w:pPr>
            <w:r>
              <w:rPr>
                <w:sz w:val="16"/>
              </w:rPr>
              <w:t>Mejorar puntualidad</w:t>
            </w:r>
          </w:p>
        </w:tc>
        <w:tc>
          <w:tcPr>
            <w:tcW w:type="dxa" w:w="2473"/>
          </w:tcPr>
          <w:p>
            <w:pPr>
              <w:spacing w:after="60" w:before="40"/>
            </w:pPr>
            <w:r>
              <w:rPr>
                <w:sz w:val="16"/>
              </w:rPr>
              <w:t>Pagos a tiempo / pagos vencidos en período</w:t>
            </w:r>
          </w:p>
        </w:tc>
        <w:tc>
          <w:tcPr>
            <w:tcW w:type="dxa" w:w="2473"/>
          </w:tcPr>
          <w:p>
            <w:pPr>
              <w:spacing w:after="60" w:before="40"/>
            </w:pPr>
            <w:r>
              <w:rPr>
                <w:sz w:val="16"/>
              </w:rPr>
              <w:t>Meta de Acta: 90%; sin medición</w:t>
            </w:r>
          </w:p>
        </w:tc>
      </w:tr>
      <w:tr>
        <w:trPr>
          <w:cantSplit/>
        </w:trPr>
        <w:tc>
          <w:tcPr>
            <w:tcW w:type="dxa" w:w="2473"/>
          </w:tcPr>
          <w:p>
            <w:pPr>
              <w:spacing w:after="60" w:before="40"/>
            </w:pPr>
            <w:r>
              <w:rPr>
                <w:sz w:val="16"/>
              </w:rPr>
              <w:t>Retención</w:t>
            </w:r>
          </w:p>
        </w:tc>
        <w:tc>
          <w:tcPr>
            <w:tcW w:type="dxa" w:w="2473"/>
          </w:tcPr>
          <w:p>
            <w:pPr>
              <w:spacing w:after="60" w:before="40"/>
            </w:pPr>
            <w:r>
              <w:rPr>
                <w:sz w:val="16"/>
              </w:rPr>
              <w:t>Disminuir abandono</w:t>
            </w:r>
          </w:p>
        </w:tc>
        <w:tc>
          <w:tcPr>
            <w:tcW w:type="dxa" w:w="2473"/>
          </w:tcPr>
          <w:p>
            <w:pPr>
              <w:spacing w:after="60" w:before="40"/>
            </w:pPr>
            <w:r>
              <w:rPr>
                <w:sz w:val="16"/>
              </w:rPr>
              <w:t>Bajas / socios al inicio; comparación a 3 meses</w:t>
            </w:r>
          </w:p>
        </w:tc>
        <w:tc>
          <w:tcPr>
            <w:tcW w:type="dxa" w:w="2473"/>
          </w:tcPr>
          <w:p>
            <w:pPr>
              <w:spacing w:after="60" w:before="40"/>
            </w:pPr>
            <w:r>
              <w:rPr>
                <w:sz w:val="16"/>
              </w:rPr>
              <w:t>Meta de Acta: reducción relativa 25%; sin medición</w:t>
            </w:r>
          </w:p>
        </w:tc>
      </w:tr>
      <w:tr>
        <w:trPr>
          <w:cantSplit/>
        </w:trPr>
        <w:tc>
          <w:tcPr>
            <w:tcW w:type="dxa" w:w="2473"/>
          </w:tcPr>
          <w:p>
            <w:pPr>
              <w:spacing w:after="60" w:before="40"/>
            </w:pPr>
            <w:r>
              <w:rPr>
                <w:sz w:val="16"/>
              </w:rPr>
              <w:t>Entrenamiento</w:t>
            </w:r>
          </w:p>
        </w:tc>
        <w:tc>
          <w:tcPr>
            <w:tcW w:type="dxa" w:w="2473"/>
          </w:tcPr>
          <w:p>
            <w:pPr>
              <w:spacing w:after="60" w:before="40"/>
            </w:pPr>
            <w:r>
              <w:rPr>
                <w:sz w:val="16"/>
              </w:rPr>
              <w:t>Mejorar disponibilidad de historial</w:t>
            </w:r>
          </w:p>
        </w:tc>
        <w:tc>
          <w:tcPr>
            <w:tcW w:type="dxa" w:w="2473"/>
          </w:tcPr>
          <w:p>
            <w:pPr>
              <w:spacing w:after="60" w:before="40"/>
            </w:pPr>
            <w:r>
              <w:rPr>
                <w:sz w:val="16"/>
              </w:rPr>
              <w:t>Sesiones registradas / sesiones programadas</w:t>
            </w:r>
          </w:p>
        </w:tc>
        <w:tc>
          <w:tcPr>
            <w:tcW w:type="dxa" w:w="2473"/>
          </w:tcPr>
          <w:p>
            <w:pPr>
              <w:spacing w:after="60" w:before="40"/>
            </w:pPr>
            <w:r>
              <w:rPr>
                <w:sz w:val="16"/>
              </w:rPr>
              <w:t>Umbral a acordar en piloto</w:t>
            </w:r>
          </w:p>
        </w:tc>
      </w:tr>
      <w:tr>
        <w:trPr>
          <w:cantSplit/>
        </w:trPr>
        <w:tc>
          <w:tcPr>
            <w:tcW w:type="dxa" w:w="2473"/>
          </w:tcPr>
          <w:p>
            <w:pPr>
              <w:spacing w:after="60" w:before="40"/>
            </w:pPr>
            <w:r>
              <w:rPr>
                <w:sz w:val="16"/>
              </w:rPr>
              <w:t>Alertas</w:t>
            </w:r>
          </w:p>
        </w:tc>
        <w:tc>
          <w:tcPr>
            <w:tcW w:type="dxa" w:w="2473"/>
          </w:tcPr>
          <w:p>
            <w:pPr>
              <w:spacing w:after="60" w:before="40"/>
            </w:pPr>
            <w:r>
              <w:rPr>
                <w:sz w:val="16"/>
              </w:rPr>
              <w:t>Apoyar revisión del entrenador</w:t>
            </w:r>
          </w:p>
        </w:tc>
        <w:tc>
          <w:tcPr>
            <w:tcW w:type="dxa" w:w="2473"/>
          </w:tcPr>
          <w:p>
            <w:pPr>
              <w:spacing w:after="60" w:before="40"/>
            </w:pPr>
            <w:r>
              <w:rPr>
                <w:sz w:val="16"/>
              </w:rPr>
              <w:t>Alertas revisadas, falsos positivos y tiempo de respuesta</w:t>
            </w:r>
          </w:p>
        </w:tc>
        <w:tc>
          <w:tcPr>
            <w:tcW w:type="dxa" w:w="2473"/>
          </w:tcPr>
          <w:p>
            <w:pPr>
              <w:spacing w:after="60" w:before="40"/>
            </w:pPr>
            <w:r>
              <w:rPr>
                <w:sz w:val="16"/>
              </w:rPr>
              <w:t>Sin afirmación de eficacia clínica</w:t>
            </w:r>
          </w:p>
        </w:tc>
      </w:tr>
    </w:tbl>
    <w:p>
      <w:r>
        <w:t>Se retiran cifras no sustentadas de satisfacción &gt;95%, lesiones −65%, morosidad &lt;3% y conciliación sin errores. La comparación hipotética 8–15 minutos frente a 30 segundos implicaría una reducción de 93,75%–96,67%, pero no se utiliza como resultado del proyecto.</w:t>
      </w:r>
    </w:p>
    <w:p>
      <w:pPr>
        <w:pStyle w:val="Heading1"/>
      </w:pPr>
      <w:r>
        <w:t>6. Criterio de aceptación</w:t>
      </w:r>
    </w:p>
    <w:p>
      <w:r>
        <w:t>Ejecutar los casos de pagos, roles, planificación, sesiones y ACWR del plan propuesto; adjuntar trazas y evidencias por versión. Los participantes de UAT deben registrar fecha, escenario, resultado y aceptación. La aprobación documental no equivale a aceptación operacional.</w:t>
      </w:r>
    </w:p>
    <w:p>
      <w:r>
        <w:br w:type="page"/>
      </w:r>
    </w:p>
    <w:p>
      <w:pPr>
        <w:pStyle w:val="Heading1"/>
      </w:pPr>
      <w:r>
        <w:t>Anexos gráficos corregidos</w:t>
      </w:r>
    </w:p>
    <w:p>
      <w:r>
        <w:t>Notación de proceso: círculo fino, inicio; círculo grueso, fin; rectángulo redondeado, tarea; rombo, decisión exclusiva. Los modelos TO-BE especifican comportamiento requerido y deben contrastarse con la ejecución. Fuente editable: Diagramas_Fase2.drawio.</w:t>
      </w:r>
    </w:p>
    <w:p>
      <w:pPr>
        <w:pStyle w:val="Heading2"/>
      </w:pPr>
      <w:r>
        <w:t>TO-BE · Procesamiento de pago</w:t>
      </w:r>
    </w:p>
    <w:p>
      <w:r>
        <w:drawing>
          <wp:inline xmlns:a="http://schemas.openxmlformats.org/drawingml/2006/main" xmlns:pic="http://schemas.openxmlformats.org/drawingml/2006/picture">
            <wp:extent cx="6263640" cy="33406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Cobranz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40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Especificación requerida: el rechazo por firma ausente y el efecto único requieren corrección y pruebas.</w:t>
      </w:r>
    </w:p>
    <w:p>
      <w:pPr>
        <w:pStyle w:val="Heading2"/>
      </w:pPr>
      <w:r>
        <w:t>AS-IS de referencia</w:t>
      </w:r>
    </w:p>
    <w:p>
      <w:r>
        <w:drawing>
          <wp:inline xmlns:a="http://schemas.openxmlformats.org/drawingml/2006/main" xmlns:pic="http://schemas.openxmlformats.org/drawingml/2006/picture">
            <wp:extent cx="6263640" cy="34015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01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Diagrama AS-IS conservado del documento original. Describe el contexto planteado por el proyecto, sin mediciones de tiempos verificadas.</w:t>
      </w:r>
    </w:p>
    <w:p>
      <w:r>
        <w:br w:type="page"/>
      </w:r>
    </w:p>
    <w:p>
      <w:pPr>
        <w:pStyle w:val="Heading2"/>
      </w:pPr>
      <w:r>
        <w:t>TO-BE · Asignación de rutina</w:t>
      </w:r>
    </w:p>
    <w:p>
      <w:r>
        <w:drawing>
          <wp:inline xmlns:a="http://schemas.openxmlformats.org/drawingml/2006/main" xmlns:pic="http://schemas.openxmlformats.org/drawingml/2006/picture">
            <wp:extent cx="6263640" cy="33406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Rutin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40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Flujo funcional. La entrega de notificaciones y la autorización deben verificarse con pruebas.</w:t>
      </w:r>
    </w:p>
    <w:p>
      <w:pPr>
        <w:pStyle w:val="Heading2"/>
      </w:pPr>
      <w:r>
        <w:t>AS-IS de referencia</w:t>
      </w:r>
    </w:p>
    <w:p>
      <w:r>
        <w:drawing>
          <wp:inline xmlns:a="http://schemas.openxmlformats.org/drawingml/2006/main" xmlns:pic="http://schemas.openxmlformats.org/drawingml/2006/picture">
            <wp:extent cx="6263640" cy="37276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27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Diagrama AS-IS conservado del documento original. Describe el contexto planteado por el proyecto, sin mediciones de tiempos verificadas.</w:t>
      </w:r>
    </w:p>
    <w:p>
      <w:r>
        <w:br w:type="page"/>
      </w:r>
    </w:p>
    <w:p>
      <w:pPr>
        <w:pStyle w:val="Heading2"/>
      </w:pPr>
      <w:r>
        <w:t>TO-BE · Registro y evaluación de carga</w:t>
      </w:r>
    </w:p>
    <w:p>
      <w:r>
        <w:drawing>
          <wp:inline xmlns:a="http://schemas.openxmlformats.org/drawingml/2006/main" xmlns:pic="http://schemas.openxmlformats.org/drawingml/2006/picture">
            <wp:extent cx="6263640" cy="33406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ACW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40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Regla configurada: ACWR &gt;1,5 o puntaje ≥70. Denominador cero: ratio no disponible. Sin validación clínica.</w:t>
      </w:r>
    </w:p>
    <w:p>
      <w:pPr>
        <w:pStyle w:val="Heading2"/>
      </w:pPr>
      <w:r>
        <w:t>AS-IS de referencia</w:t>
      </w:r>
    </w:p>
    <w:p>
      <w:r>
        <w:drawing>
          <wp:inline xmlns:a="http://schemas.openxmlformats.org/drawingml/2006/main" xmlns:pic="http://schemas.openxmlformats.org/drawingml/2006/picture">
            <wp:extent cx="6263640" cy="3501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mage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01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Diagrama AS-IS conservado del documento original. Describe el contexto planteado por el proyecto, sin mediciones de tiempos verificadas.</w:t>
      </w: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NovaFit · Correcciones Fase 2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2B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2B4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42B4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Procesos de negocio</dc:title>
  <dc:subject/>
  <dc:creator>NovaFit Analytics Suite</dc:creator>
  <cp:keywords/>
  <dc:description>Edición documental; aprobación del equipo pendiente.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