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
        <w:t>Felipe Romero Díaz · PM y Tech Lead · NovaFit Analytics Suite · Fase 2</w:t>
      </w:r>
    </w:p>
    <w:p>
      <w:r>
        <w:t>Edición documental: 29-10-2026. Reflexión personal sujeta a revisión y conformidad de su autor.</w:t>
      </w:r>
    </w:p>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spacing w:after="120" w:before="120" w:line="276" w:lineRule="auto"/>
              <w:jc w:val="both"/>
              <w:rPr>
                <w:rFonts w:ascii="Calibri" w:cs="Calibri" w:eastAsia="Calibri" w:hAnsi="Calibri"/>
                <w:sz w:val="22"/>
                <w:szCs w:val="22"/>
              </w:rPr>
            </w:pPr>
            <w:r>
              <w:rPr>
                <w:rFonts w:ascii="Calibri" w:cs="Calibri" w:eastAsia="Calibri" w:hAnsi="Calibri"/>
                <w:b w:val="1"/>
                <w:bCs w:val="1"/>
                <w:color w:val="1f4e79"/>
                <w:sz w:val="22"/>
                <w:szCs w:val="22"/>
                <w:rtl w:val="0"/>
              </w:rPr>
              <w:t>Respuesta: Como Project Manager y desarrollador fullstack de NovaFit Analytics Suite, reporté el avance del ciclo de construcción cerrado el 12-10-2026. El repositorio aporta el código de backend, web y móvil. La revisión documental no permite certificar el 100% de actividades ni la entrega de un APK instalable sin adjuntar el paquete y sus resultados.</w:t>
            </w:r>
          </w:p>
          <w:p w:rsidR="00000000" w:rsidDel="00000000" w:rsidP="00000000" w:rsidRDefault="00000000" w:rsidRPr="00000000" w14:paraId="0000000B">
            <w:pPr>
              <w:spacing w:after="120" w:before="120" w:line="276" w:lineRule="auto"/>
              <w:jc w:val="both"/>
              <w:rPr>
                <w:rFonts w:ascii="Calibri" w:cs="Calibri" w:eastAsia="Calibri" w:hAnsi="Calibri"/>
                <w:sz w:val="22"/>
                <w:szCs w:val="22"/>
              </w:rPr>
            </w:pPr>
            <w:r>
              <w:rPr>
                <w:rFonts w:ascii="Calibri" w:cs="Calibri" w:eastAsia="Calibri" w:hAnsi="Calibri"/>
                <w:b w:val="1"/>
                <w:bCs w:val="1"/>
                <w:color w:val="1f4e79"/>
                <w:sz w:val="22"/>
                <w:szCs w:val="22"/>
                <w:rtl w:val="0"/>
              </w:rPr>
              <w:t>Factores que facilitaron el plan de trabajo: 1) La adopción disciplinada del marco de trabajo ágil Scrum, operando con revisiones periódicas dentro del ciclo de construcción de cinco semanas, reuniones de sincronización técnica y una Matriz RACI bien definida que evitó duplicidad de esfuerzos. 2) La robustez del diseño arquitectónico previo (Documento de Arquitectura de Software - DAS) y el modelado de datos normalizado en 3FN (32 tablas funcionales y una tabla técnica en PostgreSQL 16 con migraciones automáticas Alembic), lo que permitió que la construcción de los 15 grupos de endpoints REST en FastAPI y su integración con los clientes web y móvil se ejecutara de forma concurrente sin conflictos de interfaz. 3) La documentación viva de la API mediante Swagger UI (/docs) y el uso riguroso de repositorios GitHub por ramas de desarrollo.</w:t>
            </w:r>
          </w:p>
          <w:p w:rsidR="00000000" w:rsidDel="00000000" w:rsidP="00000000" w:rsidRDefault="00000000" w:rsidRPr="00000000" w14:paraId="0000000C">
            <w:pPr>
              <w:spacing w:after="120" w:before="12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color w:val="1f4e79"/>
                <w:sz w:val="22"/>
                <w:szCs w:val="22"/>
                <w:rtl w:val="0"/>
              </w:rPr>
              <w:t xml:space="preserve">Factores que dificultaron el desarrollo: </w:t>
            </w:r>
            <w:r w:rsidDel="00000000" w:rsidR="00000000" w:rsidRPr="00000000">
              <w:rPr>
                <w:rFonts w:ascii="Calibri" w:cs="Calibri" w:eastAsia="Calibri" w:hAnsi="Calibri"/>
                <w:color w:val="262626"/>
                <w:sz w:val="22"/>
                <w:szCs w:val="22"/>
                <w:rtl w:val="0"/>
              </w:rPr>
              <w:t xml:space="preserve">1) La complejidad técnica en la integración de servicios cloud externos, en particular la pasarela de pagos de Mercado Pago mediante webhooks IPN y la transición desde SMTP convencional hacia la API REST de Zoho Mail bajo OAuth2, requiriendo investigación para garantizar tolerancia a fallos en el hosting de Render. 2) El consumo de memoria y renderizado en la aplicación móvil con React Native / Expo al cargar animaciones de la biblioteca de ejercicios en dispositivos de gama media, lo que obligó a implementar estrategias de caché local no presupuestadas en los tiempos preliminares.</w:t>
            </w:r>
            <w:r w:rsidDel="00000000" w:rsidR="00000000" w:rsidRPr="00000000">
              <w:rPr>
                <w:rtl w:val="0"/>
              </w:rPr>
            </w:r>
          </w:p>
        </w:tc>
      </w:tr>
    </w:tbl>
    <w:p w:rsidR="00000000" w:rsidDel="00000000" w:rsidP="00000000" w:rsidRDefault="00000000" w:rsidRPr="00000000" w14:paraId="0000000D">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blHeader w:val="0"/>
        </w:trPr>
        <w:tc>
          <w:tcPr>
            <w:vAlign w:val="center"/>
          </w:tcPr>
          <w:p w:rsidR="00000000" w:rsidDel="00000000" w:rsidP="00000000" w:rsidRDefault="00000000" w:rsidRPr="00000000" w14:paraId="0000000E">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blHeader w:val="0"/>
        </w:trPr>
        <w:tc>
          <w:tcPr>
            <w:shd w:fill="deeaf6" w:val="clear"/>
            <w:vAlign w:val="center"/>
          </w:tcPr>
          <w:p w:rsidR="00000000" w:rsidDel="00000000" w:rsidP="00000000" w:rsidRDefault="00000000" w:rsidRPr="00000000" w14:paraId="0000000F">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0">
            <w:pPr>
              <w:spacing w:after="120" w:before="120" w:line="276" w:lineRule="auto"/>
              <w:jc w:val="both"/>
              <w:rPr>
                <w:rFonts w:ascii="Calibri" w:cs="Calibri" w:eastAsia="Calibri" w:hAnsi="Calibri"/>
                <w:sz w:val="22"/>
                <w:szCs w:val="22"/>
              </w:rPr>
            </w:pPr>
            <w:r>
              <w:rPr>
                <w:rFonts w:ascii="Calibri" w:cs="Calibri" w:eastAsia="Calibri" w:hAnsi="Calibri"/>
                <w:b w:val="1"/>
                <w:bCs w:val="1"/>
                <w:color w:val="1f4e79"/>
                <w:sz w:val="22"/>
                <w:szCs w:val="22"/>
                <w:rtl w:val="0"/>
              </w:rPr>
              <w:t>Respuesta: Las dificultades técnicas y operativas presentadas durante la fase fueron abordadas de manera sistemática a través de nuestra Matriz de Riesgos (RSG-01 a RSG-12) y la Matriz de Control de Cambios, aplicando las siguientes soluciones:</w:t>
            </w:r>
          </w:p>
          <w:p w:rsidR="00000000" w:rsidDel="00000000" w:rsidP="00000000" w:rsidRDefault="00000000" w:rsidRPr="00000000" w14:paraId="00000011">
            <w:pPr>
              <w:spacing w:after="120" w:before="120" w:line="276" w:lineRule="auto"/>
              <w:jc w:val="both"/>
              <w:rPr>
                <w:rFonts w:ascii="Calibri" w:cs="Calibri" w:eastAsia="Calibri" w:hAnsi="Calibri"/>
                <w:sz w:val="22"/>
                <w:szCs w:val="22"/>
              </w:rPr>
            </w:pPr>
            <w:r>
              <w:rPr>
                <w:rFonts w:ascii="Calibri" w:cs="Calibri" w:eastAsia="Calibri" w:hAnsi="Calibri"/>
                <w:b w:val="1"/>
                <w:bCs w:val="1"/>
                <w:color w:val="1f4e79"/>
                <w:sz w:val="22"/>
                <w:szCs w:val="22"/>
                <w:rtl w:val="0"/>
              </w:rPr>
              <w:t>1. Migración y resiliencia del servicio de correo electrónico: Frente a las altas tasas de timeout y bloqueos de puertos SMTP tradicionales en la infraestructura de Render, tomé la decisión arquitectónica de migrar hacia la API REST de Zoho Mail con autenticación OAuth2, incorporando gestión automatizada de tokens de acceso y reintentos asíncronos en segundo plano. La eficacia de entrega debe documentarse con logs, período de medición y cantidad de correos procesados.</w:t>
            </w:r>
          </w:p>
          <w:p w:rsidR="00000000" w:rsidDel="00000000" w:rsidP="00000000" w:rsidRDefault="00000000" w:rsidRPr="00000000" w14:paraId="00000012">
            <w:pPr>
              <w:spacing w:after="120" w:before="120" w:line="276" w:lineRule="auto"/>
              <w:jc w:val="both"/>
              <w:rPr>
                <w:rFonts w:ascii="Calibri" w:cs="Calibri" w:eastAsia="Calibri" w:hAnsi="Calibri"/>
                <w:sz w:val="22"/>
                <w:szCs w:val="22"/>
              </w:rPr>
            </w:pPr>
            <w:r>
              <w:t>2. Conciliación de pagos: el proyecto incorporó controles y transacciones. Debemos demostrar el efecto único ante concurrencia y el rechazo de webhooks sin firma con pruebas negativas. La implementación no acredita por sí sola una renovación segura e inmediata.</w:t>
            </w:r>
          </w:p>
          <w:p w:rsidR="00000000" w:rsidDel="00000000" w:rsidP="00000000" w:rsidRDefault="00000000" w:rsidRPr="00000000" w14:paraId="00000013">
            <w:pPr>
              <w:spacing w:after="120" w:before="120" w:line="276" w:lineRule="auto"/>
              <w:jc w:val="both"/>
              <w:rPr>
                <w:rFonts w:ascii="Calibri" w:cs="Calibri" w:eastAsia="Calibri" w:hAnsi="Calibri"/>
                <w:sz w:val="22"/>
                <w:szCs w:val="22"/>
              </w:rPr>
            </w:pPr>
            <w:r>
              <w:t>3. Optimización del ACWR: el servicio agrega volumen de series e historial. Debemos adjuntar el plan de consultas, índices efectivos y mediciones para demostrar rendimiento.</w:t>
            </w:r>
          </w:p>
          <w:p w:rsidR="00000000" w:rsidDel="00000000" w:rsidP="00000000" w:rsidRDefault="00000000" w:rsidRPr="00000000" w14:paraId="00000014">
            <w:pPr>
              <w:spacing w:after="120" w:before="120" w:line="276" w:lineRule="auto"/>
              <w:jc w:val="both"/>
              <w:rPr>
                <w:rFonts w:ascii="Calibri" w:cs="Calibri" w:eastAsia="Calibri" w:hAnsi="Calibri"/>
                <w:sz w:val="22"/>
                <w:szCs w:val="22"/>
              </w:rPr>
            </w:pPr>
            <w:r>
              <w:t>4. Plan futuro de contingencia (Fase 3): Planificamos ejecutar pruebas de carga y concurrencia con Locust y mantener auditoría continua mediante el registro de eventos (audit log) incorporado en el backend, para aportar evidencia antes de la defensa final.</w:t>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blHeader w:val="0"/>
        </w:trPr>
        <w:tc>
          <w:tcPr>
            <w:vAlign w:val="center"/>
          </w:tcPr>
          <w:p w:rsidR="00000000" w:rsidDel="00000000" w:rsidP="00000000" w:rsidRDefault="00000000" w:rsidRPr="00000000" w14:paraId="00000020">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blHeader w:val="0"/>
        </w:trPr>
        <w:tc>
          <w:tcPr>
            <w:shd w:fill="deeaf6" w:val="clea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2">
            <w:pPr>
              <w:spacing w:after="120" w:before="12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color w:val="1f4e79"/>
                <w:sz w:val="22"/>
                <w:szCs w:val="22"/>
                <w:rtl w:val="0"/>
              </w:rPr>
              <w:t xml:space="preserve">Respuesta: </w:t>
            </w:r>
            <w:r w:rsidDel="00000000" w:rsidR="00000000" w:rsidRPr="00000000">
              <w:rPr>
                <w:rFonts w:ascii="Calibri" w:cs="Calibri" w:eastAsia="Calibri" w:hAnsi="Calibri"/>
                <w:color w:val="262626"/>
                <w:sz w:val="22"/>
                <w:szCs w:val="22"/>
                <w:rtl w:val="0"/>
              </w:rPr>
              <w:t xml:space="preserve">Evalúo mi trabajo y desempeño en la Fase 2 en un nivel sobresaliente y altamente satisfactorio. He logrado articular de forma efectiva el rol de gestión y liderazgo técnico (Project Manager &amp; Tech Lead) con el desarrollo técnico fullstack, alcanzando un producto maduro, estable y alineado con los requerimientos de la asignatura APT-122.</w:t>
            </w:r>
            <w:r w:rsidDel="00000000" w:rsidR="00000000" w:rsidRPr="00000000">
              <w:rPr>
                <w:rtl w:val="0"/>
              </w:rPr>
            </w:r>
          </w:p>
          <w:p w:rsidR="00000000" w:rsidDel="00000000" w:rsidP="00000000" w:rsidRDefault="00000000" w:rsidRPr="00000000" w14:paraId="00000023">
            <w:pPr>
              <w:spacing w:after="120" w:before="12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color w:val="1f4e79"/>
                <w:sz w:val="22"/>
                <w:szCs w:val="22"/>
                <w:rtl w:val="0"/>
              </w:rPr>
              <w:t xml:space="preserve">Aspectos que destaco de mi trabajo: </w:t>
            </w:r>
            <w:r w:rsidDel="00000000" w:rsidR="00000000" w:rsidRPr="00000000">
              <w:rPr>
                <w:rFonts w:ascii="Calibri" w:cs="Calibri" w:eastAsia="Calibri" w:hAnsi="Calibri"/>
                <w:color w:val="262626"/>
                <w:sz w:val="22"/>
                <w:szCs w:val="22"/>
                <w:rtl w:val="0"/>
              </w:rPr>
              <w:t xml:space="preserve">1) Capacidad de resolución y diseño arquitectónico: Haber orquestado la integración integral de los tres subsistemas (FastAPI, React + Vite y React Native) bajo una arquitectura SaaS multi-inquilino segura con autenticación JWT y control de acceso basado en 4 roles (Superadmin, Administrador de Gimnasio, Entrenador y Atleta). 2) Liderazgo y clima de equipo: Mantener al equipo alineado, motivado y altamente comprometido con la excelencia académica y técnica, asegurando entregables de alto rigor como el DAS, el Diccionario de Datos normalizado y el plan de pruebas.</w:t>
            </w:r>
            <w:r w:rsidDel="00000000" w:rsidR="00000000" w:rsidRPr="00000000">
              <w:rPr>
                <w:rtl w:val="0"/>
              </w:rPr>
            </w:r>
          </w:p>
          <w:p w:rsidR="00000000" w:rsidDel="00000000" w:rsidP="00000000" w:rsidRDefault="00000000" w:rsidRPr="00000000" w14:paraId="00000024">
            <w:pPr>
              <w:spacing w:after="120" w:before="120" w:line="276" w:lineRule="auto"/>
              <w:jc w:val="both"/>
              <w:rPr>
                <w:rFonts w:ascii="Calibri" w:cs="Calibri" w:eastAsia="Calibri" w:hAnsi="Calibri"/>
                <w:sz w:val="22"/>
                <w:szCs w:val="22"/>
              </w:rPr>
            </w:pPr>
            <w:r>
              <w:t>Oportunidades de mejora: 1) Delegación de tareas operativas: En ciertos momentos asumí ajustes menores de documentación y configuración que pudieron ser delegados oportunamente para concentrar mayor tiempo en la orquestación general. 2) Cobertura de pruebas automatizadas: Además de documentar la validación funcional manual y en Swagger UI, me propongo elevar el porcentaje de cobertura de pruebas unitarias y de integración en pytest antes del examen de título.</w:t>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blHeader w:val="0"/>
        </w:trPr>
        <w:tc>
          <w:tcPr>
            <w:vAlign w:val="center"/>
          </w:tcPr>
          <w:p w:rsidR="00000000" w:rsidDel="00000000" w:rsidP="00000000" w:rsidRDefault="00000000" w:rsidRPr="00000000" w14:paraId="00000027">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blHeader w:val="0"/>
        </w:trPr>
        <w:tc>
          <w:tcPr>
            <w:shd w:fill="deeaf6" w:val="clear"/>
            <w:vAlign w:val="center"/>
          </w:tcPr>
          <w:p w:rsidR="00000000" w:rsidDel="00000000" w:rsidP="00000000" w:rsidRDefault="00000000" w:rsidRPr="00000000" w14:paraId="00000028">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9">
            <w:pPr>
              <w:spacing w:after="120" w:before="12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color w:val="1f4e79"/>
                <w:sz w:val="22"/>
                <w:szCs w:val="22"/>
                <w:rtl w:val="0"/>
              </w:rPr>
              <w:t xml:space="preserve">Respuesta: </w:t>
            </w:r>
            <w:r w:rsidDel="00000000" w:rsidR="00000000" w:rsidRPr="00000000">
              <w:rPr>
                <w:rFonts w:ascii="Calibri" w:cs="Calibri" w:eastAsia="Calibri" w:hAnsi="Calibri"/>
                <w:color w:val="262626"/>
                <w:sz w:val="22"/>
                <w:szCs w:val="22"/>
                <w:rtl w:val="0"/>
              </w:rPr>
              <w:t xml:space="preserve">Al reflexionar sobre el avance hacia la Fase 3 (Cierre, Validación y Presentación de Portafolio), surgen reflexiones clave sobre la mejor manera de exhibir el valor del proyecto ante la comisión evaluadora:</w:t>
            </w:r>
            <w:r w:rsidDel="00000000" w:rsidR="00000000" w:rsidRPr="00000000">
              <w:rPr>
                <w:rtl w:val="0"/>
              </w:rPr>
            </w:r>
          </w:p>
          <w:p w:rsidR="00000000" w:rsidDel="00000000" w:rsidP="00000000" w:rsidRDefault="00000000" w:rsidRPr="00000000" w14:paraId="0000002A">
            <w:pPr>
              <w:spacing w:after="120" w:before="12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color w:val="1f4e79"/>
                <w:sz w:val="22"/>
                <w:szCs w:val="22"/>
                <w:rtl w:val="0"/>
              </w:rPr>
              <w:t xml:space="preserve">Inquietudes sobre cómo proceder: </w:t>
            </w:r>
            <w:r w:rsidDel="00000000" w:rsidR="00000000" w:rsidRPr="00000000">
              <w:rPr>
                <w:rFonts w:ascii="Calibri" w:cs="Calibri" w:eastAsia="Calibri" w:hAnsi="Calibri"/>
                <w:color w:val="262626"/>
                <w:sz w:val="22"/>
                <w:szCs w:val="22"/>
                <w:rtl w:val="0"/>
              </w:rPr>
              <w:t xml:space="preserve">1) Cuál es la estrategia más adecuada para la demostración del motor analítico ACWR durante la defensa oral: si basarse en un conjunto de datos sintéticos representativos que simulen meses de historial de atletas o enfocarse en el comportamiento en tiempo real de una sesión recién registrada. 2) Cómo coordinar en el tiempo limitado de la presentación la interacción simultánea entre el panel web del entrenador y la app móvil del atleta sin restar fluidez al discurso.</w:t>
            </w:r>
            <w:r w:rsidDel="00000000" w:rsidR="00000000" w:rsidRPr="00000000">
              <w:rPr>
                <w:rtl w:val="0"/>
              </w:rPr>
            </w:r>
          </w:p>
          <w:p w:rsidR="00000000" w:rsidDel="00000000" w:rsidP="00000000" w:rsidRDefault="00000000" w:rsidRPr="00000000" w14:paraId="0000002B">
            <w:pPr>
              <w:spacing w:after="120" w:before="120" w:line="276" w:lineRule="auto"/>
              <w:jc w:val="both"/>
              <w:rPr>
                <w:rFonts w:ascii="Calibri" w:cs="Calibri" w:eastAsia="Calibri" w:hAnsi="Calibri"/>
                <w:sz w:val="22"/>
                <w:szCs w:val="22"/>
              </w:rPr>
            </w:pPr>
            <w:r>
              <w:t>Pregunta para el docente guía: 'Estimado profesor: Considerando que NovaFit Analytics Suite cuenta con sus tres componentes (Web, Móvil y Backend SaaS multi-tenant) representados en el código y con despliegues reportados, pendientes de validación adjunta: ¿Qué enfoque metodológico considera más determinante priorizar durante la defensa oral final: evidenciar las métricas de carga concurrente y resiliencia de la arquitectura en la nube, o realizar un recorrido funcional centrado en el impacto de negocio y la experiencia de usuario del entrenador y atleta?'</w:t>
            </w:r>
          </w:p>
        </w:tc>
      </w:tr>
    </w:tbl>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blHeader w:val="0"/>
        </w:trPr>
        <w:tc>
          <w:tcPr>
            <w:vAlign w:val="center"/>
          </w:tcPr>
          <w:p w:rsidR="00000000" w:rsidDel="00000000" w:rsidP="00000000" w:rsidRDefault="00000000" w:rsidRPr="00000000" w14:paraId="0000002E">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blHeader w:val="0"/>
        </w:trPr>
        <w:tc>
          <w:tcPr>
            <w:shd w:fill="deeaf6" w:val="clear"/>
            <w:vAlign w:val="center"/>
          </w:tcPr>
          <w:p>
            <w:pPr>
              <w:spacing w:after="100"/>
              <w:jc w:val="left"/>
            </w:pPr>
            <w:r>
              <w:rPr>
                <w:rFonts w:ascii="Calibri" w:hAnsi="Calibri"/>
                <w:sz w:val="20"/>
              </w:rPr>
            </w:r>
            <w:r>
              <w:rPr>
                <w:rFonts w:ascii="Calibri" w:hAnsi="Calibri"/>
                <w:sz w:val="20"/>
              </w:rPr>
              <w:t>¿Consideran que las actividades deben ser redistribuidas entre los miembros del grupo? ¿Hay nuevas actividades que deban ser asignadas a algún miembro del grupo?</w:t>
            </w:r>
          </w:p>
          <w:p>
            <w:pPr>
              <w:spacing w:after="100"/>
              <w:jc w:val="left"/>
            </w:pPr>
            <w:r>
              <w:rPr>
                <w:rFonts w:ascii="Calibri" w:hAnsi="Calibri"/>
                <w:sz w:val="20"/>
              </w:rPr>
              <w:t>Respuesta: A partir de esta instancia de monitoreo formal, consideramos que la distribución de responsabilidades ha sido sumamente equitativa y eficiente. La estructura establecida en la Matriz RACI permitió que cada integrante explotara sus mejores competencias técnicas, por lo cual no se requiere una redistribución de las actividades ya asignadas.</w:t>
            </w:r>
          </w:p>
          <w:p>
            <w:pPr>
              <w:spacing w:after="100"/>
              <w:jc w:val="left"/>
            </w:pPr>
            <w:r>
              <w:rPr>
                <w:rFonts w:ascii="Calibri" w:hAnsi="Calibri"/>
                <w:sz w:val="20"/>
              </w:rPr>
              <w:t>Nuevas actividades asignadas para la Fase 3 (Cierre y Validación): Para abordar con éxito la fase final de titulación, proponemos las siguientes responsabilidades para confirmar con el equipo:</w:t>
            </w:r>
          </w:p>
          <w:p>
            <w:pPr>
              <w:spacing w:after="100"/>
              <w:jc w:val="left"/>
            </w:pPr>
            <w:r>
              <w:rPr>
                <w:rFonts w:ascii="Calibri" w:hAnsi="Calibri"/>
                <w:sz w:val="20"/>
              </w:rPr>
              <w:t>1. Felipe Romero Díaz (Project Manager &amp; Tech Lead): Coordinación general y redacción de la memoria final de portafolio, diseño de las diapositivas ejecutivas y orquestación técnica del guion de defensa en vivo.</w:t>
            </w:r>
          </w:p>
          <w:p>
            <w:pPr>
              <w:spacing w:after="100"/>
              <w:jc w:val="left"/>
            </w:pPr>
            <w:r>
              <w:rPr>
                <w:rFonts w:ascii="Calibri" w:hAnsi="Calibri"/>
                <w:sz w:val="20"/>
              </w:rPr>
              <w:t>2. Vicente Gilbert Espinosa (Backend Developer): Ejecución de pruebas de estrés y concurrencia con Locust sobre los endpoints analíticos, y optimización de la generación de reportes masivos en formato PDF para gimnasios.</w:t>
            </w:r>
          </w:p>
          <w:p>
            <w:pPr>
              <w:spacing w:after="100"/>
              <w:jc w:val="left"/>
            </w:pPr>
            <w:r>
              <w:rPr>
                <w:rFonts w:ascii="Calibri" w:hAnsi="Calibri"/>
                <w:sz w:val="20"/>
              </w:rPr>
              <w:t>3. Antonio Maturana (Frontend &amp; Mobile Developer): Generación del paquete APK de producción final firmado mediante EAS Build, realización de pruebas de usabilidad con atletas en sala de entrenamiento y afinamiento de transiciones hápticas.</w:t>
            </w:r>
          </w:p>
          <w:p>
            <w:pPr>
              <w:spacing w:after="100"/>
              <w:jc w:val="left"/>
            </w:pPr>
            <w:r>
              <w:rPr>
                <w:rFonts w:ascii="Calibri" w:hAnsi="Calibri"/>
                <w:sz w:val="20"/>
              </w:rPr>
              <w:t>4. Yulian Silva (DBA &amp; Arquitecto de Datos): Implementación de procedimientos de respaldo automatizado (pg_dump y snapshots en la nube), auditoría de integridad relacional y cierre formal del Diccionario de Datos.</w:t>
            </w:r>
          </w:p>
          <w:p>
            <w:pPr>
              <w:spacing w:after="100"/>
              <w:jc w:val="left"/>
            </w:pPr>
            <w:r>
              <w:rPr>
                <w:rFonts w:ascii="Calibri" w:hAnsi="Calibri"/>
                <w:sz w:val="20"/>
              </w:rPr>
              <w:t>5. Steven San Martín (QA): liderar el plan de pruebas, registrar resultados y defectos, coordinar UAT con los demás responsables. Asignación propuesta para confirmar.</w:t>
            </w:r>
          </w:p>
        </w:tc>
      </w:tr>
    </w:tbl>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tbl>
      <w:tblPr>
        <w:tblStyle w:val="Table8"/>
        <w:tblW w:w="10065.0" w:type="dxa"/>
        <w:jc w:val="left"/>
        <w:tblInd w:w="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65"/>
        <w:tblGridChange w:id="0">
          <w:tblGrid>
            <w:gridCol w:w="10065"/>
          </w:tblGrid>
        </w:tblGridChange>
      </w:tblGrid>
      <w:tr>
        <w:trPr>
          <w:cantSplit w:val="0"/>
          <w:tblHeader w:val="0"/>
        </w:trPr>
        <w:tc>
          <w:tcPr>
            <w:vAlign w:val="center"/>
          </w:tcPr>
          <w:p w:rsidR="00000000" w:rsidDel="00000000" w:rsidP="00000000" w:rsidRDefault="00000000" w:rsidRPr="00000000" w14:paraId="0000003B">
            <w:pPr>
              <w:rPr>
                <w:b w:val="1"/>
                <w:bCs w:val="1"/>
                <w:color w:val="767171"/>
                <w:sz w:val="24"/>
                <w:szCs w:val="24"/>
              </w:rPr>
            </w:pPr>
            <w:bookmarkStart w:colFirst="0" w:colLast="0" w:name="_heading=h.54m05o6ec9cy" w:id="0"/>
            <w:bookmarkEnd w:id="0"/>
            <w:r w:rsidDel="00000000" w:rsidR="00000000" w:rsidRPr="00000000">
              <w:rPr>
                <w:sz w:val="24"/>
                <w:szCs w:val="24"/>
                <w:rtl w:val="0"/>
              </w:rPr>
              <w:t xml:space="preserve">6. APT  grupal</w:t>
            </w:r>
            <w:r w:rsidDel="00000000" w:rsidR="00000000" w:rsidRPr="00000000">
              <w:rPr>
                <w:rtl w:val="0"/>
              </w:rPr>
            </w:r>
          </w:p>
        </w:tc>
      </w:tr>
      <w:tr>
        <w:trPr>
          <w:cantSplit w:val="0"/>
          <w:tblHeader w:val="0"/>
        </w:trPr>
        <w:tc>
          <w:tcPr>
            <w:shd w:fill="deeaf6" w:val="clear"/>
            <w:vAlign w:val="center"/>
          </w:tcPr>
          <w:p>
            <w:pPr>
              <w:spacing w:after="100"/>
              <w:jc w:val="left"/>
            </w:pPr>
            <w:r>
              <w:rPr>
                <w:rFonts w:ascii="Calibri" w:hAnsi="Calibri"/>
                <w:sz w:val="20"/>
              </w:rPr>
            </w:r>
            <w:r>
              <w:rPr>
                <w:rFonts w:ascii="Calibri" w:hAnsi="Calibri"/>
                <w:sz w:val="20"/>
              </w:rPr>
              <w:t>¿Cómo evalúan el trabajo en grupo?¿Qué aspectos positivos destacan? ¿Qué aspectos podrían mejorar?</w:t>
            </w:r>
          </w:p>
          <w:p>
            <w:pPr>
              <w:spacing w:after="100"/>
              <w:jc w:val="left"/>
            </w:pPr>
            <w:r>
              <w:rPr>
                <w:rFonts w:ascii="Calibri" w:hAnsi="Calibri"/>
                <w:sz w:val="20"/>
              </w:rPr>
              <w:t>Respuesta: Evaluamos el desempeño del Grupo 4 como sobresaliente. Hemos operado con los estándares, la disciplina y el compromiso de un equipo profesional de desarrollo de software, logrando materializar con éxito una plataforma completa de nivel empresarial en los plazos previstos.</w:t>
            </w:r>
          </w:p>
          <w:p>
            <w:pPr>
              <w:spacing w:after="100"/>
              <w:jc w:val="left"/>
            </w:pPr>
            <w:r>
              <w:rPr>
                <w:rFonts w:ascii="Calibri" w:hAnsi="Calibri"/>
                <w:sz w:val="20"/>
              </w:rPr>
              <w:t>Aspectos positivos que destacamos: 1) Autonomía y sentido de pertenencia: Cada integrante asumió el liderazgo integral de su componente (Base de Datos, Backend API, Aplicación Móvil y Panel Web) con proactividad y sin necesidad de supervisión jerárquica constante. 2) Comunicación transparente y constructiva: Los debates técnicos y decisiones de diseño se resolvieron siempre mediante argumentación fundamentada, pruebas de concepto ágiles y un ambiente de respeto mutuo. 3) Rigor metodológico: La seriedad en la elaboración de cada artefacto técnico (DAS, Matriz de Control de Cambios, Matriz de Riesgos y Minutas de reunión) da cuenta de una formación sólida y alineada con el perfil de egreso de Duoc UC.</w:t>
            </w:r>
          </w:p>
          <w:p>
            <w:pPr>
              <w:spacing w:after="100"/>
              <w:jc w:val="left"/>
            </w:pPr>
            <w:r>
              <w:rPr>
                <w:rFonts w:ascii="Calibri" w:hAnsi="Calibri"/>
                <w:sz w:val="20"/>
              </w:rPr>
              <w:t>Aspectos que podríamos mejorar: 1) Mayor formalización de revisiones cruzadas de código (Peer Code Reviews) en las solicitudes de extracción (Pull Requests) de GitHub para estandarizar convenciones de estilo entre repositorios. 2) Realizar simulacros previos de la presentación oral grupal con cronómetro en mano para sincronizar los tiempos individuales de intervención y garantizar transiciones impecables ante la comisión examinadora.</w:t>
            </w:r>
          </w:p>
        </w:tc>
      </w:tr>
    </w:tbl>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
        <w:br w:type="page"/>
      </w:r>
    </w:p>
    <w:p>
      <w:pPr>
        <w:pStyle w:val="Heading1"/>
      </w:pPr>
      <w:r>
        <w:t>Trazabilidad y aclaraciones de la edición</w:t>
      </w:r>
    </w:p>
    <w:p>
      <w:r>
        <w:t>Rol asignado según RACI: PM y Tech Lead. Esta asignación no demuestra autoría de cada archivo ni participación en cada commit.</w:t>
      </w:r>
    </w:p>
    <w:p>
      <w:r>
        <w:t>El cierre original reportó 16 casos aprobados. El repositorio revisado no contiene el plan ejecutado ni sus resultados por caso. El ZIP incluye una función de prueba de integración de entrenamiento; su presencia no acredita su ejecución. Plan_Pruebas_y_Evidencias.xlsx propone 16 casos nuevos, todos pendientes de ejecución, y no reconstruye ni certifica el plan histórico.</w:t>
      </w:r>
    </w:p>
    <w:p>
      <w:r>
        <w:t>Referencias relacionadas con el rol: Matrices, minutas y documentos de gestión; adjuntar decisiones aprobadas y evidencia de coordinación.</w:t>
      </w:r>
    </w:p>
    <w:p>
      <w:r>
        <w:t>Ajustes para la etapa final: Felipe coordina y valida; Vicente corrige backend; Yulian verifica datos/restauración; Antonio prepara clientes y APK; Steven lidera ejecución QA. Son asignaciones propuestas para revisión del equipo.</w:t>
      </w:r>
    </w:p>
    <w:p>
      <w:r>
        <w:t>Antes de certificar la entrega: adjuntar ejecución de pruebas, APK y datos de compilación, evidencia de restauración, aceptación de usuarios, mediciones de rendimiento y aprobación comercial. También quedan por validar la integración WhatsApp y el alcance de sueño/hidratación para Fase 3.</w:t>
      </w:r>
    </w:p>
    <w:sectPr>
      <w:headerReference r:id="rId8" w:type="default"/>
      <w:headerReference r:id="rId9" w:type="first"/>
      <w:footerReference r:id="rId10" w:type="default"/>
      <w:footerReference w:type="first" r:id="rId11"/>
      <w:footerReference w:type="even" r:id="rId12"/>
      <w:pgSz w:h="15840" w:w="12240" w:orient="portrait"/>
      <w:pgMar w:bottom="1134" w:top="1440" w:left="1077" w:right="1077" w:header="567" w:footer="504"/>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pPr>
      <w:jc w:val="right"/>
    </w:pPr>
    <w:r>
      <w:rPr>
        <w:sz w:val="16"/>
      </w:rPr>
      <w:t xml:space="preserve">NovaFit · Reflexión Fase 2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sz w:val="16"/>
      </w:rPr>
      <w:t xml:space="preserve">NovaFit · Reflexión Fase 2 · </w:t>
    </w: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sz w:val="16"/>
      </w:rPr>
      <w:t xml:space="preserve">NovaFit · Reflexión Fase 2 · </w:t>
    </w:r>
    <w:fldSimple w:instr="PAGE"/>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 Id="rId11" Type="http://schemas.openxmlformats.org/officeDocument/2006/relationships/footer" Target="footer2.xml"/><Relationship Id="rId12"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AO8H5iVWBDjJpawnbb+BTKhBmw==">CgMxLjAyDmguNTRtMDVvNmVjOWN5OAByITFYVThzR0otdTNrbkh6azRCOGxYcC1NVXFjVlB3UmRESg==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