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Alcance económico y flujo de caja</w:t>
      </w:r>
    </w:p>
    <w:p>
      <w:pPr>
        <w:pStyle w:val="Subtitle"/>
      </w:pPr>
      <w:r>
        <w:t>Escenario ilustrativo del proveedor · CLP · horizonte de 12 meses</w:t>
      </w:r>
    </w:p>
    <w:p>
      <w:r>
        <w:t>Edición documental corregida, 29-10-2026. Base de revisión: commit d86a6b6. Las comprobaciones de código son estáticas. Los resultados operativos, la aceptación y las aprobaciones requieren sus evidencias de ejecución.</w:t>
      </w:r>
    </w:p>
    <w:p>
      <w:pPr>
        <w:pStyle w:val="Heading1"/>
      </w:pPr>
      <w:r>
        <w:t>1. Alcance de la oferta</w:t>
      </w:r>
    </w:p>
    <w:p>
      <w:r>
        <w:t>Panel administrativo multisucursal, administración de usuarios y membresías, facturación y conciliación de pagos, planificación de rutinas y sesiones, aplicación móvil para registrar entrenamiento y analítica de carga. Se excluyen torniquetes, wearables y diagnóstico médico. La disponibilidad real de cada capacidad debe demostrarse mediante pruebas y aceptación.</w:t>
      </w:r>
    </w:p>
    <w:p>
      <w:r>
        <w:t>El flujo adopta la perspectiva del equipo proveedor: cobros al cliente, pagos de desarrollo y costos de operación. No registra las cuotas de los socios del gimnasio como ingresos del proveedor. Los meses M1–M12 son relativos al inicio del contrato; no representan ejecución histórica.</w:t>
      </w:r>
    </w:p>
    <w:p>
      <w:pPr>
        <w:pStyle w:val="Heading1"/>
      </w:pPr>
      <w:r>
        <w:t>2. Línea base y periodicidad</w:t>
      </w:r>
    </w:p>
    <w:p>
      <w:r>
        <w:t>Acta de Constitución: desarrollo $12.500.000 CLP, cloud $45.000/mes, cuentas de desarrollador $120.000/año y precio propuesto $20.480.000. La conciliación $12.800.000 corresponde a desarrollo + cuatro meses cloud ($180.000) + una anualidad de cuentas ($120.000). Los cuatro meses son una hipótesis de conciliación financiera, no una duración contractual aprobada.</w:t>
      </w:r>
    </w:p>
    <w:p>
      <w:r>
        <w:t>Cloud equivale a $540.000 por doce meses. Las cuentas de desarrollador se pagan una vez al año; su inclusión depende del canal de distribución y debe confirmarse. No se añade una cifra independiente de dominio sin cotización. Los importes del Acta son referencias históricas del proyecto, no tarifas verificadas del proveedor cloud.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/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Etapa ERS</w:t>
            </w:r>
          </w:p>
        </w:tc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Costo CLP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Análisis</w:t>
            </w:r>
          </w:p>
        </w:tc>
        <w:tc>
          <w:tcPr>
            <w:tcW w:type="dxa" w:w="4946"/>
          </w:tcPr>
          <w:p>
            <w:r>
              <w:t>865.500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Diseño</w:t>
            </w:r>
          </w:p>
        </w:tc>
        <w:tc>
          <w:tcPr>
            <w:tcW w:type="dxa" w:w="4946"/>
          </w:tcPr>
          <w:p>
            <w:r>
              <w:t>1.587.000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Desarrollo</w:t>
            </w:r>
          </w:p>
        </w:tc>
        <w:tc>
          <w:tcPr>
            <w:tcW w:type="dxa" w:w="4946"/>
          </w:tcPr>
          <w:p>
            <w:r>
              <w:t>7.505.500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Pruebas</w:t>
            </w:r>
          </w:p>
        </w:tc>
        <w:tc>
          <w:tcPr>
            <w:tcW w:type="dxa" w:w="4946"/>
          </w:tcPr>
          <w:p>
            <w:r>
              <w:t>1.511.000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Implantación</w:t>
            </w:r>
          </w:p>
        </w:tc>
        <w:tc>
          <w:tcPr>
            <w:tcW w:type="dxa" w:w="4946"/>
          </w:tcPr>
          <w:p>
            <w:r>
              <w:t>1.031.000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60" w:before="40"/>
            </w:pPr>
            <w:r>
              <w:rPr>
                <w:sz w:val="18"/>
              </w:rPr>
              <w:t>Total desarrollo</w:t>
            </w:r>
          </w:p>
        </w:tc>
        <w:tc>
          <w:tcPr>
            <w:tcW w:type="dxa" w:w="4946"/>
          </w:tcPr>
          <w:p>
            <w:r>
              <w:t>12.500.000</w:t>
            </w:r>
          </w:p>
        </w:tc>
      </w:tr>
    </w:tbl>
    <w:p>
      <w:pPr>
        <w:pStyle w:val="Heading1"/>
      </w:pPr>
      <w:r>
        <w:t>3. Un único servicio recurrente</w:t>
      </w:r>
    </w:p>
    <w:p>
      <w:r>
        <w:t>Soporte y mantenimiento se presenta como un único servicio mensual, desde M5. Supuesto ilustrativo: tarifa $250.000/mes, hasta cuatro horas de trabajo al mes, costo interno $25.000/hora. El hosting de $45.000/mes se considera costo del proveedor, incluido comercialmente en el servicio; no se cobra por segunda vez al cliente. Todos estos términos de soporte son una propuesta pendiente de negociación.</w:t>
      </w:r>
    </w:p>
    <w:p>
      <w:r>
        <w:t>Cobertura propuesta: atención remota en horario hábil, diagnóstico de incidencias, correcciones dentro del alcance y revisión preventiva. Excluye nuevas funcionalidades, rediseños, atención presencial, cobertura 24/7 y cargos transaccionales. No se promete un tiempo de respuesta contractual sin dimensionamiento y aceptación. El equivalente anual de la tarifa es $3.000.000 por doce meses, no un segundo cargo.</w:t>
      </w:r>
    </w:p>
    <w:p>
      <w:pPr>
        <w:pStyle w:val="Heading1"/>
      </w:pPr>
      <w:r>
        <w:t>4. Cobros, desembolsos y caja</w:t>
      </w:r>
    </w:p>
    <w:p>
      <w:r>
        <w:t>Cobro del desarrollo: 30% en M1, 40% en M3 y 30% en M4, todos supuestos. Los pagos del trabajo se distribuyen: análisis+diseño en M1, desarrollo en mitades M2/M3, pruebas+implantación en M4. El Excel permite modificar importes y distribución.</w:t>
      </w:r>
    </w:p>
    <w:p>
      <w:r>
        <w:t>Escenario ilustrativo a 12 meses: cobros $22.480.000, desembolsos $13.960.000 y flujo neto antes de impuestos/financiación $8.520.000. Con caja inicial cero aparece un déficit acumulado de $271.250 en M2. Ese es el requerimiento mínimo de financiación para el calendario supuesto, sin colchón de contingencia. No equivale a utilidad contable ni retorno garantizado.</w:t>
      </w:r>
    </w:p>
    <w:p>
      <w:r>
        <w:t>Caja negra: entradas de efectivo (contrato y soporte); sistema económico (desarrollo y operación dentro del alcance); salidas de efectivo (equipo, cloud, cuentas y ejecución del soporte); saldo acumulado mensual. El detalle de cada movimiento está visible en el Excel y evita ocultar costos dentro de un total.</w:t>
      </w:r>
    </w:p>
    <w:p>
      <w:pPr>
        <w:pStyle w:val="Heading1"/>
      </w:pPr>
      <w:r>
        <w:t>5. Beneficios y evaluación</w:t>
      </w:r>
    </w:p>
    <w:p>
      <w:r>
        <w:t>Beneficios esperados para el gimnasio: menos tareas manuales, trazabilidad de cobranza, historial de entrenamiento y seguimiento de alertas. El plan de medición de Procesos_Negocio_corregido.docx define indicadores. No se monetizan ahorros sin datos de volumen, costo por hora y línea base.</w:t>
      </w:r>
    </w:p>
    <w:p>
      <w:r>
        <w:t>El precio de $20.480.000 proviene del Acta y no acredita un contrato. La viabilidad comercial depende de la disposición a pagar, costo real del soporte, atrasos de cobro y consumo cloud. No se calcula VAN/TIR con una tasa inventada ni se presenta reducción clínica de lesiones como retorno económico.</w:t>
      </w:r>
    </w:p>
    <w:p>
      <w:pPr>
        <w:pStyle w:val="Heading1"/>
      </w:pPr>
      <w:r>
        <w:t>6. Exclusiones y decisiones pendientes</w:t>
      </w:r>
    </w:p>
    <w:p>
      <w:r>
        <w:t>Modelo antes de impuestos, sin IVA, financiación, comisiones de cobro del contrato ni contingencia. El tratamiento tributario, pagos efectivos, tipo de cuenta de tiendas, cotizaciones cloud y contrato de soporte deben acordarse antes de emitir oferta final. Las comisiones de membresías del gimnasio pertenecen a su propio flujo y no se incorporan al del proveedor.</w:t>
      </w:r>
    </w:p>
    <w:p>
      <w:r>
        <w:t>Aprobar alcance y precio, validar obligaciones tributarias, cotizar infraestructura, confirmar distribución Android/iOS, fijar condiciones del soporte y asegurar financiación del déficit. Registrar las decisiones en la matriz de cambios antes de convertir este escenario en presupuesto aprobado.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NovaFit · Correcciones Fase 2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2B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2B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42B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Alcance económico y flujo de caja</dc:title>
  <dc:subject/>
  <dc:creator>NovaFit Analytics Suite</dc:creator>
  <cp:keywords/>
  <dc:description>Edición documental; aprobación del equipo pendiente.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