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F7B3A"/>
          <w:sz w:val="56"/>
          <w:szCs w:val="56"/>
        </w:rPr>
        <w:t xml:space="preserve">IGO PROTEIN CUTS</w:t>
      </w:r>
    </w:p>
    <w:p>
      <w:pPr>
        <w:spacing w:before="200"/>
        <w:jc w:val="center"/>
      </w:pPr>
      <w:r>
        <w:rPr>
          <w:i/>
          <w:iCs/>
          <w:color w:val="08120B"/>
          <w:sz w:val="26"/>
          <w:szCs w:val="26"/>
        </w:rPr>
        <w:t xml:space="preserve">Premium Meat. Farm Fresh. Delivered Fresh.</w:t>
      </w:r>
    </w:p>
    <w:p>
      <w:pPr>
        <w:spacing w:before="600"/>
        <w:jc w:val="center"/>
      </w:pPr>
      <w:r>
        <w:rPr>
          <w:b/>
          <w:bCs/>
          <w:sz w:val="30"/>
          <w:szCs w:val="30"/>
        </w:rPr>
        <w:t xml:space="preserve">Enterprise Product Requirements Document</w:t>
      </w:r>
    </w:p>
    <w:p>
      <w:pPr>
        <w:spacing w:before="150"/>
        <w:jc w:val="center"/>
      </w:pPr>
      <w:r>
        <w:rPr>
          <w:color w:val="6B7280"/>
          <w:sz w:val="22"/>
          <w:szCs w:val="22"/>
        </w:rPr>
        <w:t xml:space="preserve">Strategy, Research, Information Architecture &amp; Phased Build Roadmap</w:t>
      </w:r>
    </w:p>
    <w:p>
      <w:pPr>
        <w:spacing w:before="1200"/>
        <w:jc w:val="center"/>
      </w:pPr>
      <w:r>
        <w:rPr>
          <w:color w:val="6B7280"/>
          <w:sz w:val="20"/>
          <w:szCs w:val="20"/>
        </w:rPr>
        <w:t xml:space="preserve">Prepared for IGO Group of Companies  •  July 2026</w:t>
      </w:r>
    </w:p>
    <w:p>
      <w:r>
        <w:br w:type="page"/>
      </w:r>
    </w:p>
    <w:p>
      <w:pPr>
        <w:pStyle w:val="Heading1"/>
        <w:spacing w:after="200" w:before="40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50"/>
      </w:pPr>
      <w:r>
        <w:t xml:space="preserve">IGO Protein Cuts is the flagship consumer commerce brand of the IGO Group of Companies, built on the engineering and agricultural credibility already established by IGO Agritech Farms (15,000+ successful projects, 2000+ team members, 75+ industry awards, ISO-certified, pan-India presence). This document is the mandatory research-and-planning phase requested before any further build work: it grounds every subsequent design and engineering decision in real competitive research, a real IGO brand foundation, and a realistic, honestly-scoped roadmap.</w:t>
      </w:r>
    </w:p>
    <w:p>
      <w:pPr>
        <w:spacing w:after="150"/>
      </w:pPr>
      <w:r>
        <w:t xml:space="preserve">A functional, real version of Protein Cuts already exists today — a React 19 + TypeScript + Vite + Express application with working authentication, a 4-step cart/checkout flow, live order placement, a 17-section homepage, subscriptions, combo packs, and a 30+ product catalogue. That app has been verified end-to-end (clean typecheck, manual trace of the full order-placement path, zero bugs found). This PRD treats that app as the real Phase 1 foundation, not a prototype to be discarded — and lays out what "premium enterprise" means concretely for Phases 2 onward.</w:t>
      </w:r>
    </w:p>
    <w:p>
      <w:pPr>
        <w:spacing w:after="150"/>
      </w:pPr>
      <w:r>
        <w:t xml:space="preserve">The brief that triggered this document asks for an extremely large scope: a ~30-section homepage, a full Next.js/Supabase/Redis/Elasticsearch rebuild, customer/admin/vendor/warehouse/delivery/corporate/franchise/supplier/marketing/analytics portals, AI search and recommendation engines, native mobile apps, and full enterprise QA. That is a genuine multi-quarter build for a small team, not a single build. This document's job is to sequence that ambition honestly, in the order that produces the most customer and business value first.</w:t>
      </w:r>
    </w:p>
    <w:p>
      <w:pPr>
        <w:pStyle w:val="Heading1"/>
        <w:spacing w:after="200" w:before="400"/>
      </w:pPr>
      <w:r>
        <w:t xml:space="preserve">2. Brand Foundation &amp; Positioning</w:t>
      </w:r>
    </w:p>
    <w:p>
      <w:pPr>
        <w:pStyle w:val="Heading2"/>
        <w:spacing w:after="150" w:before="300"/>
      </w:pPr>
      <w:r>
        <w:t xml:space="preserve">2.1 The IGO Ecosystem — What We Verified</w:t>
      </w:r>
    </w:p>
    <w:p>
      <w:pPr>
        <w:spacing w:after="150"/>
      </w:pPr>
      <w:r>
        <w:t xml:space="preserve">Live research on igoagritechfarms.com (the group's existing public site) confirms the following real, citable brand facts, which Protein Cuts should inherit in tone even though it is a separate consumer-facing business:</w:t>
      </w:r>
    </w:p>
    <w:p>
      <w:pPr>
        <w:pStyle w:val="ListParagraph"/>
        <w:numPr>
          <w:ilvl w:val="0"/>
          <w:numId w:val="2"/>
        </w:numPr>
        <w:spacing w:after="80"/>
      </w:pPr>
      <w:r>
        <w:t xml:space="preserve">Positioning line: "We don't just build farms — we build profitable agricultural ecosystems designed for the future."</w:t>
      </w:r>
    </w:p>
    <w:p>
      <w:pPr>
        <w:pStyle w:val="ListParagraph"/>
        <w:numPr>
          <w:ilvl w:val="0"/>
          <w:numId w:val="2"/>
        </w:numPr>
        <w:spacing w:after="80"/>
      </w:pPr>
      <w:r>
        <w:t xml:space="preserve">Proof points: 10+ years of excellence, 15,000+ successful projects, 2,000+ team members, 75+ industry awards, pan-India presence, ISO-certified organisation, trusted by 15,000+ farmers.</w:t>
      </w:r>
    </w:p>
    <w:p>
      <w:pPr>
        <w:pStyle w:val="ListParagraph"/>
        <w:numPr>
          <w:ilvl w:val="0"/>
          <w:numId w:val="2"/>
        </w:numPr>
        <w:spacing w:after="80"/>
      </w:pPr>
      <w:r>
        <w:t xml:space="preserve">Service lines: polyhouse projects, hydroponics, open cultivation, floriculture, goat farming, aquaculture, vertical farming, rooftop/urban gardens.</w:t>
      </w:r>
    </w:p>
    <w:p>
      <w:pPr>
        <w:pStyle w:val="ListParagraph"/>
        <w:numPr>
          <w:ilvl w:val="0"/>
          <w:numId w:val="2"/>
        </w:numPr>
        <w:spacing w:after="80"/>
      </w:pPr>
      <w:r>
        <w:t xml:space="preserve">Self-described "Engineering DNA": Precision Engineering (structural), Biotech Science (tissue culture, organic science), Automation &amp; IoT (irrigation/climate/monitoring), Energy Synthesis (renewables, ROI-minded sustainability).</w:t>
      </w:r>
    </w:p>
    <w:p>
      <w:pPr>
        <w:spacing w:after="150"/>
      </w:pPr>
      <w:r>
        <w:rPr>
          <w:i/>
          <w:iCs/>
        </w:rPr>
        <w:t xml:space="preserve">This matters directly for Protein Cuts: the goat farming and aquaculture lines already give the meat/seafood business a genuine, non-fabricated sourcing story — this is a real differentiator competitors like Licious or FreshToHome (who broker third-party farms) cannot claim as directly.</w:t>
      </w:r>
    </w:p>
    <w:p>
      <w:pPr>
        <w:pStyle w:val="Heading2"/>
        <w:spacing w:after="150" w:before="300"/>
      </w:pPr>
      <w:r>
        <w:t xml:space="preserve">2.2 Protein Cuts Brand Identity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08120B" w:val="clear"/>
            <w:tcMar>
              <w:top w:type="dxa" w:w="100"/>
              <w:left w:type="dxa" w:w="120"/>
              <w:bottom w:type="dxa" w:w="100"/>
              <w:right w:type="dxa" w:w="120"/>
            </w:tcMar>
          </w:tcPr>
          <w:p>
            <w:r>
              <w:rPr>
                <w:b/>
                <w:bCs/>
                <w:color w:val="FFFFFF"/>
              </w:rPr>
              <w:t xml:space="preserve">Element</w:t>
            </w:r>
          </w:p>
        </w:tc>
        <w:tc>
          <w:tcPr>
            <w:tcW w:type="dxa" w:w="6800"/>
            <w:shd w:fill="08120B" w:val="clear"/>
            <w:tcMar>
              <w:top w:type="dxa" w:w="100"/>
              <w:left w:type="dxa" w:w="120"/>
              <w:bottom w:type="dxa" w:w="100"/>
              <w:right w:type="dxa" w:w="120"/>
            </w:tcMar>
          </w:tcPr>
          <w:p>
            <w:r>
              <w:rPr>
                <w:b/>
                <w:bCs/>
                <w:color w:val="FFFFFF"/>
              </w:rPr>
              <w:t xml:space="preserve">Definition</w:t>
            </w:r>
          </w:p>
        </w:tc>
      </w:tr>
      <w:tr>
        <w:tc>
          <w:tcPr>
            <w:tcW w:type="dxa" w:w="3000"/>
            <w:tcMar>
              <w:top w:type="dxa" w:w="100"/>
              <w:left w:type="dxa" w:w="120"/>
              <w:bottom w:type="dxa" w:w="100"/>
              <w:right w:type="dxa" w:w="120"/>
            </w:tcMar>
          </w:tcPr>
          <w:p>
            <w:r>
              <w:rPr>
                <w:b w:val="false"/>
                <w:bCs w:val="false"/>
              </w:rPr>
              <w:t xml:space="preserve">Brand name</w:t>
            </w:r>
          </w:p>
        </w:tc>
        <w:tc>
          <w:tcPr>
            <w:tcW w:type="dxa" w:w="6800"/>
            <w:tcMar>
              <w:top w:type="dxa" w:w="100"/>
              <w:left w:type="dxa" w:w="120"/>
              <w:bottom w:type="dxa" w:w="100"/>
              <w:right w:type="dxa" w:w="120"/>
            </w:tcMar>
          </w:tcPr>
          <w:p>
            <w:r>
              <w:rPr>
                <w:b w:val="false"/>
                <w:bCs w:val="false"/>
              </w:rPr>
              <w:t xml:space="preserve">IGO Protein Cuts</w:t>
            </w:r>
          </w:p>
        </w:tc>
      </w:tr>
      <w:tr>
        <w:tc>
          <w:tcPr>
            <w:tcW w:type="dxa" w:w="3000"/>
            <w:shd w:fill="F5F5F5" w:val="clear"/>
            <w:tcMar>
              <w:top w:type="dxa" w:w="100"/>
              <w:left w:type="dxa" w:w="120"/>
              <w:bottom w:type="dxa" w:w="100"/>
              <w:right w:type="dxa" w:w="120"/>
            </w:tcMar>
          </w:tcPr>
          <w:p>
            <w:r>
              <w:rPr>
                <w:b w:val="false"/>
                <w:bCs w:val="false"/>
              </w:rPr>
              <w:t xml:space="preserve">Tagline</w:t>
            </w:r>
          </w:p>
        </w:tc>
        <w:tc>
          <w:tcPr>
            <w:tcW w:type="dxa" w:w="6800"/>
            <w:shd w:fill="F5F5F5" w:val="clear"/>
            <w:tcMar>
              <w:top w:type="dxa" w:w="100"/>
              <w:left w:type="dxa" w:w="120"/>
              <w:bottom w:type="dxa" w:w="100"/>
              <w:right w:type="dxa" w:w="120"/>
            </w:tcMar>
          </w:tcPr>
          <w:p>
            <w:r>
              <w:rPr>
                <w:b w:val="false"/>
                <w:bCs w:val="false"/>
              </w:rPr>
              <w:t xml:space="preserve">Premium Meat. Farm Fresh. Delivered Fresh.</w:t>
            </w:r>
          </w:p>
        </w:tc>
      </w:tr>
      <w:tr>
        <w:tc>
          <w:tcPr>
            <w:tcW w:type="dxa" w:w="3000"/>
            <w:tcMar>
              <w:top w:type="dxa" w:w="100"/>
              <w:left w:type="dxa" w:w="120"/>
              <w:bottom w:type="dxa" w:w="100"/>
              <w:right w:type="dxa" w:w="120"/>
            </w:tcMar>
          </w:tcPr>
          <w:p>
            <w:r>
              <w:rPr>
                <w:b w:val="false"/>
                <w:bCs w:val="false"/>
              </w:rPr>
              <w:t xml:space="preserve">Parent trust signal</w:t>
            </w:r>
          </w:p>
        </w:tc>
        <w:tc>
          <w:tcPr>
            <w:tcW w:type="dxa" w:w="6800"/>
            <w:tcMar>
              <w:top w:type="dxa" w:w="100"/>
              <w:left w:type="dxa" w:w="120"/>
              <w:bottom w:type="dxa" w:w="100"/>
              <w:right w:type="dxa" w:w="120"/>
            </w:tcMar>
          </w:tcPr>
          <w:p>
            <w:r>
              <w:rPr>
                <w:b w:val="false"/>
                <w:bCs w:val="false"/>
              </w:rPr>
              <w:t xml:space="preserve">Flagship of the IGO Group of Companies / "IGO Groups Ecosystem"</w:t>
            </w:r>
          </w:p>
        </w:tc>
      </w:tr>
      <w:tr>
        <w:tc>
          <w:tcPr>
            <w:tcW w:type="dxa" w:w="3000"/>
            <w:shd w:fill="F5F5F5" w:val="clear"/>
            <w:tcMar>
              <w:top w:type="dxa" w:w="100"/>
              <w:left w:type="dxa" w:w="120"/>
              <w:bottom w:type="dxa" w:w="100"/>
              <w:right w:type="dxa" w:w="120"/>
            </w:tcMar>
          </w:tcPr>
          <w:p>
            <w:r>
              <w:rPr>
                <w:b w:val="false"/>
                <w:bCs w:val="false"/>
              </w:rPr>
              <w:t xml:space="preserve">Category</w:t>
            </w:r>
          </w:p>
        </w:tc>
        <w:tc>
          <w:tcPr>
            <w:tcW w:type="dxa" w:w="6800"/>
            <w:shd w:fill="F5F5F5" w:val="clear"/>
            <w:tcMar>
              <w:top w:type="dxa" w:w="100"/>
              <w:left w:type="dxa" w:w="120"/>
              <w:bottom w:type="dxa" w:w="100"/>
              <w:right w:type="dxa" w:w="120"/>
            </w:tcMar>
          </w:tcPr>
          <w:p>
            <w:r>
              <w:rPr>
                <w:b w:val="false"/>
                <w:bCs w:val="false"/>
              </w:rPr>
              <w:t xml:space="preserve">Premium meat, seafood, eggs, ready-to-cook &amp; marinated proteins</w:t>
            </w:r>
          </w:p>
        </w:tc>
      </w:tr>
      <w:tr>
        <w:tc>
          <w:tcPr>
            <w:tcW w:type="dxa" w:w="3000"/>
            <w:tcMar>
              <w:top w:type="dxa" w:w="100"/>
              <w:left w:type="dxa" w:w="120"/>
              <w:bottom w:type="dxa" w:w="100"/>
              <w:right w:type="dxa" w:w="120"/>
            </w:tcMar>
          </w:tcPr>
          <w:p>
            <w:r>
              <w:rPr>
                <w:b w:val="false"/>
                <w:bCs w:val="false"/>
              </w:rPr>
              <w:t xml:space="preserve">Audience</w:t>
            </w:r>
          </w:p>
        </w:tc>
        <w:tc>
          <w:tcPr>
            <w:tcW w:type="dxa" w:w="6800"/>
            <w:tcMar>
              <w:top w:type="dxa" w:w="100"/>
              <w:left w:type="dxa" w:w="120"/>
              <w:bottom w:type="dxa" w:w="100"/>
              <w:right w:type="dxa" w:w="120"/>
            </w:tcMar>
          </w:tcPr>
          <w:p>
            <w:r>
              <w:rPr>
                <w:b w:val="false"/>
                <w:bCs w:val="false"/>
              </w:rPr>
              <w:t xml:space="preserve">Urban families, fitness/protein-focused consumers, premium gifting buyers, HoReCa &amp; corporate bulk buyers</w:t>
            </w:r>
          </w:p>
        </w:tc>
      </w:tr>
      <w:tr>
        <w:tc>
          <w:tcPr>
            <w:tcW w:type="dxa" w:w="3000"/>
            <w:shd w:fill="F5F5F5" w:val="clear"/>
            <w:tcMar>
              <w:top w:type="dxa" w:w="100"/>
              <w:left w:type="dxa" w:w="120"/>
              <w:bottom w:type="dxa" w:w="100"/>
              <w:right w:type="dxa" w:w="120"/>
            </w:tcMar>
          </w:tcPr>
          <w:p>
            <w:r>
              <w:rPr>
                <w:b w:val="false"/>
                <w:bCs w:val="false"/>
              </w:rPr>
              <w:t xml:space="preserve">Design mandate (from brief)</w:t>
            </w:r>
          </w:p>
        </w:tc>
        <w:tc>
          <w:tcPr>
            <w:tcW w:type="dxa" w:w="6800"/>
            <w:shd w:fill="F5F5F5" w:val="clear"/>
            <w:tcMar>
              <w:top w:type="dxa" w:w="100"/>
              <w:left w:type="dxa" w:w="120"/>
              <w:bottom w:type="dxa" w:w="100"/>
              <w:right w:type="dxa" w:w="120"/>
            </w:tcMar>
          </w:tcPr>
          <w:p>
            <w:r>
              <w:rPr>
                <w:b w:val="false"/>
                <w:bCs w:val="false"/>
              </w:rPr>
              <w:t xml:space="preserve">Luxury, minimal, elegant, premium — "Apple + Tesla + Nike + Airbnb + Stripe + Notion" crossed with "FreshToHome + Licious + Crowd Cow + ButcherBox"</w:t>
            </w:r>
          </w:p>
        </w:tc>
      </w:tr>
    </w:tbl>
    <w:p>
      <w:pPr>
        <w:pStyle w:val="Heading2"/>
        <w:spacing w:after="150" w:before="300"/>
      </w:pPr>
      <w:r>
        <w:t xml:space="preserve">2.3 A Design Decision That Needs a Call</w:t>
      </w:r>
    </w:p>
    <w:p>
      <w:pPr>
        <w:spacing w:after="150"/>
      </w:pPr>
      <w:r>
        <w:t xml:space="preserve">Two different colour directions have been given at different points: the live, already-built app uses a green-and-charcoal palette (#0F7B3A on #08120B/white — "fresh, natural, trustworthy"). A later brief specified "White, Deep Red, Dark Charcoal, Premium Gold, Fresh Green accents." These are not the same system. Recommendation: keep green as the primary trust/freshness colour (it is doing real work across the live site today and matches food-safety conventions used by FreshToHome/Licious), and introduce gold as the premium accent for membership, subscriptions and premium cuts — reserving deep red only as a sparing "hot deal / limited time" accent, never as a primary brand colour for a fresh-food business (red is more commonly read as a warning or as raw-meat photography, not as trust). This is proposed, not final — flag for explicit sign-off before the design system is locked.</w:t>
      </w:r>
    </w:p>
    <w:p>
      <w:pPr>
        <w:pStyle w:val="Heading1"/>
        <w:spacing w:after="200" w:before="400"/>
      </w:pPr>
      <w:r>
        <w:t xml:space="preserve">3. Competitive Landscape Analysis</w:t>
      </w:r>
    </w:p>
    <w:p>
      <w:pPr>
        <w:spacing w:after="150"/>
      </w:pPr>
      <w:r>
        <w:t xml:space="preserve">Researched live (July 2026) rather than assumed. Full citations at the end of this document.</w:t>
      </w:r>
    </w:p>
    <w:p>
      <w:pPr>
        <w:pStyle w:val="Heading2"/>
        <w:spacing w:after="150" w:before="300"/>
      </w:pPr>
      <w:r>
        <w:t xml:space="preserve">3.1 Indian Direct Competitors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2900"/>
      </w:tblGrid>
      <w:tr>
        <w:trPr>
          <w:tblHeader/>
        </w:trPr>
        <w:tc>
          <w:tcPr>
            <w:tcW w:type="dxa" w:w="2200"/>
            <w:shd w:fill="08120B" w:val="clear"/>
            <w:tcMar>
              <w:top w:type="dxa" w:w="100"/>
              <w:left w:type="dxa" w:w="120"/>
              <w:bottom w:type="dxa" w:w="100"/>
              <w:right w:type="dxa" w:w="120"/>
            </w:tcMar>
          </w:tcPr>
          <w:p>
            <w:r>
              <w:rPr>
                <w:b/>
                <w:bCs/>
                <w:color w:val="FFFFFF"/>
              </w:rPr>
              <w:t xml:space="preserve">Brand</w:t>
            </w:r>
          </w:p>
        </w:tc>
        <w:tc>
          <w:tcPr>
            <w:tcW w:type="dxa" w:w="3700"/>
            <w:shd w:fill="08120B" w:val="clear"/>
            <w:tcMar>
              <w:top w:type="dxa" w:w="100"/>
              <w:left w:type="dxa" w:w="120"/>
              <w:bottom w:type="dxa" w:w="100"/>
              <w:right w:type="dxa" w:w="120"/>
            </w:tcMar>
          </w:tcPr>
          <w:p>
            <w:r>
              <w:rPr>
                <w:b/>
                <w:bCs/>
                <w:color w:val="FFFFFF"/>
              </w:rPr>
              <w:t xml:space="preserve">What they do well</w:t>
            </w:r>
          </w:p>
        </w:tc>
        <w:tc>
          <w:tcPr>
            <w:tcW w:type="dxa" w:w="2900"/>
            <w:shd w:fill="08120B" w:val="clear"/>
            <w:tcMar>
              <w:top w:type="dxa" w:w="100"/>
              <w:left w:type="dxa" w:w="120"/>
              <w:bottom w:type="dxa" w:w="100"/>
              <w:right w:type="dxa" w:w="120"/>
            </w:tcMar>
          </w:tcPr>
          <w:p>
            <w:r>
              <w:rPr>
                <w:b/>
                <w:bCs/>
                <w:color w:val="FFFFFF"/>
              </w:rPr>
              <w:t xml:space="preserve">Where Protein Cuts can differentiate</w:t>
            </w:r>
          </w:p>
        </w:tc>
      </w:tr>
      <w:tr>
        <w:tc>
          <w:tcPr>
            <w:tcW w:type="dxa" w:w="2200"/>
            <w:tcMar>
              <w:top w:type="dxa" w:w="100"/>
              <w:left w:type="dxa" w:w="120"/>
              <w:bottom w:type="dxa" w:w="100"/>
              <w:right w:type="dxa" w:w="120"/>
            </w:tcMar>
          </w:tcPr>
          <w:p>
            <w:r>
              <w:rPr>
                <w:b w:val="false"/>
                <w:bCs w:val="false"/>
              </w:rPr>
              <w:t xml:space="preserve">Licious</w:t>
            </w:r>
          </w:p>
        </w:tc>
        <w:tc>
          <w:tcPr>
            <w:tcW w:type="dxa" w:w="3700"/>
            <w:tcMar>
              <w:top w:type="dxa" w:w="100"/>
              <w:left w:type="dxa" w:w="120"/>
              <w:bottom w:type="dxa" w:w="100"/>
              <w:right w:type="dxa" w:w="120"/>
            </w:tcMar>
          </w:tcPr>
          <w:p>
            <w:r>
              <w:rPr>
                <w:b w:val="false"/>
                <w:bCs w:val="false"/>
              </w:rPr>
              <w:t xml:space="preserve">Premium ready-to-cook range; tight cold-chain control from procurement to delivery; curated metro-first experience.</w:t>
            </w:r>
          </w:p>
        </w:tc>
        <w:tc>
          <w:tcPr>
            <w:tcW w:type="dxa" w:w="2900"/>
            <w:tcMar>
              <w:top w:type="dxa" w:w="100"/>
              <w:left w:type="dxa" w:w="120"/>
              <w:bottom w:type="dxa" w:w="100"/>
              <w:right w:type="dxa" w:w="120"/>
            </w:tcMar>
          </w:tcPr>
          <w:p>
            <w:r>
              <w:rPr>
                <w:b w:val="false"/>
                <w:bCs w:val="false"/>
              </w:rPr>
              <w:t xml:space="preserve">Real farm/engineering provenance via IGO Agritech (polyhouse, goat farming, aquaculture) instead of a broker network.</w:t>
            </w:r>
          </w:p>
        </w:tc>
      </w:tr>
      <w:tr>
        <w:tc>
          <w:tcPr>
            <w:tcW w:type="dxa" w:w="2200"/>
            <w:shd w:fill="F5F5F5" w:val="clear"/>
            <w:tcMar>
              <w:top w:type="dxa" w:w="100"/>
              <w:left w:type="dxa" w:w="120"/>
              <w:bottom w:type="dxa" w:w="100"/>
              <w:right w:type="dxa" w:w="120"/>
            </w:tcMar>
          </w:tcPr>
          <w:p>
            <w:r>
              <w:rPr>
                <w:b w:val="false"/>
                <w:bCs w:val="false"/>
              </w:rPr>
              <w:t xml:space="preserve">FreshToHome</w:t>
            </w:r>
          </w:p>
        </w:tc>
        <w:tc>
          <w:tcPr>
            <w:tcW w:type="dxa" w:w="3700"/>
            <w:shd w:fill="F5F5F5" w:val="clear"/>
            <w:tcMar>
              <w:top w:type="dxa" w:w="100"/>
              <w:left w:type="dxa" w:w="120"/>
              <w:bottom w:type="dxa" w:w="100"/>
              <w:right w:type="dxa" w:w="120"/>
            </w:tcMar>
          </w:tcPr>
          <w:p>
            <w:r>
              <w:rPr>
                <w:b w:val="false"/>
                <w:bCs w:val="false"/>
              </w:rPr>
              <w:t xml:space="preserve">Widest geographic reach; strongest seafood variety; "no antibiotics or added chemicals" as a headline claim.</w:t>
            </w:r>
          </w:p>
        </w:tc>
        <w:tc>
          <w:tcPr>
            <w:tcW w:type="dxa" w:w="2900"/>
            <w:shd w:fill="F5F5F5" w:val="clear"/>
            <w:tcMar>
              <w:top w:type="dxa" w:w="100"/>
              <w:left w:type="dxa" w:w="120"/>
              <w:bottom w:type="dxa" w:w="100"/>
              <w:right w:type="dxa" w:w="120"/>
            </w:tcMar>
          </w:tcPr>
          <w:p>
            <w:r>
              <w:rPr>
                <w:b w:val="false"/>
                <w:bCs w:val="false"/>
              </w:rPr>
              <w:t xml:space="preserve">Match the antibiotic-free claim (already used on the live site) and go deeper on traceability per batch.</w:t>
            </w:r>
          </w:p>
        </w:tc>
      </w:tr>
      <w:tr>
        <w:tc>
          <w:tcPr>
            <w:tcW w:type="dxa" w:w="2200"/>
            <w:tcMar>
              <w:top w:type="dxa" w:w="100"/>
              <w:left w:type="dxa" w:w="120"/>
              <w:bottom w:type="dxa" w:w="100"/>
              <w:right w:type="dxa" w:w="120"/>
            </w:tcMar>
          </w:tcPr>
          <w:p>
            <w:r>
              <w:rPr>
                <w:b w:val="false"/>
                <w:bCs w:val="false"/>
              </w:rPr>
              <w:t xml:space="preserve">TenderCuts / ZappFresh / Meatigo</w:t>
            </w:r>
          </w:p>
        </w:tc>
        <w:tc>
          <w:tcPr>
            <w:tcW w:type="dxa" w:w="3700"/>
            <w:tcMar>
              <w:top w:type="dxa" w:w="100"/>
              <w:left w:type="dxa" w:w="120"/>
              <w:bottom w:type="dxa" w:w="100"/>
              <w:right w:type="dxa" w:w="120"/>
            </w:tcMar>
          </w:tcPr>
          <w:p>
            <w:r>
              <w:rPr>
                <w:b w:val="false"/>
                <w:bCs w:val="false"/>
              </w:rPr>
              <w:t xml:space="preserve">Hyperlocal freshness cues, quick commerce speed expectations set by Blinkit/Zepto/Instamart.</w:t>
            </w:r>
          </w:p>
        </w:tc>
        <w:tc>
          <w:tcPr>
            <w:tcW w:type="dxa" w:w="2900"/>
            <w:tcMar>
              <w:top w:type="dxa" w:w="100"/>
              <w:left w:type="dxa" w:w="120"/>
              <w:bottom w:type="dxa" w:w="100"/>
              <w:right w:type="dxa" w:w="120"/>
            </w:tcMar>
          </w:tcPr>
          <w:p>
            <w:r>
              <w:rPr>
                <w:b w:val="false"/>
                <w:bCs w:val="false"/>
              </w:rPr>
              <w:t xml:space="preserve">30-min express slot already live; keep matching quick-commerce delivery expectations without sacrificing premium positioning.</w:t>
            </w:r>
          </w:p>
        </w:tc>
      </w:tr>
    </w:tbl>
    <w:p>
      <w:pPr>
        <w:pStyle w:val="Heading2"/>
        <w:spacing w:after="150" w:before="300"/>
      </w:pPr>
      <w:r>
        <w:t xml:space="preserve">3.2 International &amp; Premium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600"/>
      </w:tblGrid>
      <w:tr>
        <w:trPr>
          <w:tblHeader/>
        </w:trPr>
        <w:tc>
          <w:tcPr>
            <w:tcW w:type="dxa" w:w="2000"/>
            <w:shd w:fill="08120B" w:val="clear"/>
            <w:tcMar>
              <w:top w:type="dxa" w:w="100"/>
              <w:left w:type="dxa" w:w="120"/>
              <w:bottom w:type="dxa" w:w="100"/>
              <w:right w:type="dxa" w:w="120"/>
            </w:tcMar>
          </w:tcPr>
          <w:p>
            <w:r>
              <w:rPr>
                <w:b/>
                <w:bCs/>
                <w:color w:val="FFFFFF"/>
              </w:rPr>
              <w:t xml:space="preserve">Brand</w:t>
            </w:r>
          </w:p>
        </w:tc>
        <w:tc>
          <w:tcPr>
            <w:tcW w:type="dxa" w:w="4200"/>
            <w:shd w:fill="08120B" w:val="clear"/>
            <w:tcMar>
              <w:top w:type="dxa" w:w="100"/>
              <w:left w:type="dxa" w:w="120"/>
              <w:bottom w:type="dxa" w:w="100"/>
              <w:right w:type="dxa" w:w="120"/>
            </w:tcMar>
          </w:tcPr>
          <w:p>
            <w:r>
              <w:rPr>
                <w:b/>
                <w:bCs/>
                <w:color w:val="FFFFFF"/>
              </w:rPr>
              <w:t xml:space="preserve">Signature UX pattern</w:t>
            </w:r>
          </w:p>
        </w:tc>
        <w:tc>
          <w:tcPr>
            <w:tcW w:type="dxa" w:w="2600"/>
            <w:shd w:fill="08120B" w:val="clear"/>
            <w:tcMar>
              <w:top w:type="dxa" w:w="100"/>
              <w:left w:type="dxa" w:w="120"/>
              <w:bottom w:type="dxa" w:w="100"/>
              <w:right w:type="dxa" w:w="120"/>
            </w:tcMar>
          </w:tcPr>
          <w:p>
            <w:r>
              <w:rPr>
                <w:b/>
                <w:bCs/>
                <w:color w:val="FFFFFF"/>
              </w:rPr>
              <w:t xml:space="preserve">Applicability</w:t>
            </w:r>
          </w:p>
        </w:tc>
      </w:tr>
      <w:tr>
        <w:tc>
          <w:tcPr>
            <w:tcW w:type="dxa" w:w="2000"/>
            <w:tcMar>
              <w:top w:type="dxa" w:w="100"/>
              <w:left w:type="dxa" w:w="120"/>
              <w:bottom w:type="dxa" w:w="100"/>
              <w:right w:type="dxa" w:w="120"/>
            </w:tcMar>
          </w:tcPr>
          <w:p>
            <w:r>
              <w:rPr>
                <w:b w:val="false"/>
                <w:bCs w:val="false"/>
              </w:rPr>
              <w:t xml:space="preserve">ButcherBox</w:t>
            </w:r>
          </w:p>
        </w:tc>
        <w:tc>
          <w:tcPr>
            <w:tcW w:type="dxa" w:w="4200"/>
            <w:tcMar>
              <w:top w:type="dxa" w:w="100"/>
              <w:left w:type="dxa" w:w="120"/>
              <w:bottom w:type="dxa" w:w="100"/>
              <w:right w:type="dxa" w:w="120"/>
            </w:tcMar>
          </w:tcPr>
          <w:p>
            <w:r>
              <w:rPr>
                <w:b w:val="false"/>
                <w:bCs w:val="false"/>
              </w:rPr>
              <w:t xml:space="preserve">Flexible subscription cadence (every 2/4/6/8 weeks), skip/postpone self-service, 100+ SKU curated subscription catalogue.</w:t>
            </w:r>
          </w:p>
        </w:tc>
        <w:tc>
          <w:tcPr>
            <w:tcW w:type="dxa" w:w="2600"/>
            <w:tcMar>
              <w:top w:type="dxa" w:w="100"/>
              <w:left w:type="dxa" w:w="120"/>
              <w:bottom w:type="dxa" w:w="100"/>
              <w:right w:type="dxa" w:w="120"/>
            </w:tcMar>
          </w:tcPr>
          <w:p>
            <w:r>
              <w:rPr>
                <w:b w:val="false"/>
                <w:bCs w:val="false"/>
              </w:rPr>
              <w:t xml:space="preserve">Directly informs Phase 3 subscription-flow upgrade — current app has 4 static plans; add cadence + skip/pause controls.</w:t>
            </w:r>
          </w:p>
        </w:tc>
      </w:tr>
      <w:tr>
        <w:tc>
          <w:tcPr>
            <w:tcW w:type="dxa" w:w="2000"/>
            <w:shd w:fill="F5F5F5" w:val="clear"/>
            <w:tcMar>
              <w:top w:type="dxa" w:w="100"/>
              <w:left w:type="dxa" w:w="120"/>
              <w:bottom w:type="dxa" w:w="100"/>
              <w:right w:type="dxa" w:w="120"/>
            </w:tcMar>
          </w:tcPr>
          <w:p>
            <w:r>
              <w:rPr>
                <w:b w:val="false"/>
                <w:bCs w:val="false"/>
              </w:rPr>
              <w:t xml:space="preserve">Crowd Cow</w:t>
            </w:r>
          </w:p>
        </w:tc>
        <w:tc>
          <w:tcPr>
            <w:tcW w:type="dxa" w:w="4200"/>
            <w:shd w:fill="F5F5F5" w:val="clear"/>
            <w:tcMar>
              <w:top w:type="dxa" w:w="100"/>
              <w:left w:type="dxa" w:w="120"/>
              <w:bottom w:type="dxa" w:w="100"/>
              <w:right w:type="dxa" w:w="120"/>
            </w:tcMar>
          </w:tcPr>
          <w:p>
            <w:r>
              <w:rPr>
                <w:b w:val="false"/>
                <w:bCs w:val="false"/>
              </w:rPr>
              <w:t xml:space="preserve">Named-farm traceability — every cut linked to a specific ranch/fishery, marketplace-style storytelling per product.</w:t>
            </w:r>
          </w:p>
        </w:tc>
        <w:tc>
          <w:tcPr>
            <w:tcW w:type="dxa" w:w="2600"/>
            <w:shd w:fill="F5F5F5" w:val="clear"/>
            <w:tcMar>
              <w:top w:type="dxa" w:w="100"/>
              <w:left w:type="dxa" w:w="120"/>
              <w:bottom w:type="dxa" w:w="100"/>
              <w:right w:type="dxa" w:w="120"/>
            </w:tcMar>
          </w:tcPr>
          <w:p>
            <w:r>
              <w:rPr>
                <w:b w:val="false"/>
                <w:bCs w:val="false"/>
              </w:rPr>
              <w:t xml:space="preserve">Strongest single idea to adopt: attach a real IGO-sourced farm/fishery story to each product page in Phase 2.</w:t>
            </w:r>
          </w:p>
        </w:tc>
      </w:tr>
      <w:tr>
        <w:tc>
          <w:tcPr>
            <w:tcW w:type="dxa" w:w="2000"/>
            <w:tcMar>
              <w:top w:type="dxa" w:w="100"/>
              <w:left w:type="dxa" w:w="120"/>
              <w:bottom w:type="dxa" w:w="100"/>
              <w:right w:type="dxa" w:w="120"/>
            </w:tcMar>
          </w:tcPr>
          <w:p>
            <w:r>
              <w:rPr>
                <w:b w:val="false"/>
                <w:bCs w:val="false"/>
              </w:rPr>
              <w:t xml:space="preserve">D'Artagnan</w:t>
            </w:r>
          </w:p>
        </w:tc>
        <w:tc>
          <w:tcPr>
            <w:tcW w:type="dxa" w:w="4200"/>
            <w:tcMar>
              <w:top w:type="dxa" w:w="100"/>
              <w:left w:type="dxa" w:w="120"/>
              <w:bottom w:type="dxa" w:w="100"/>
              <w:right w:type="dxa" w:w="120"/>
            </w:tcMar>
          </w:tcPr>
          <w:p>
            <w:r>
              <w:rPr>
                <w:b w:val="false"/>
                <w:bCs w:val="false"/>
              </w:rPr>
              <w:t xml:space="preserve">Deepest specialty/charcuterie catalogue; positions itself on expertise and provenance rather than price.</w:t>
            </w:r>
          </w:p>
        </w:tc>
        <w:tc>
          <w:tcPr>
            <w:tcW w:type="dxa" w:w="2600"/>
            <w:tcMar>
              <w:top w:type="dxa" w:w="100"/>
              <w:left w:type="dxa" w:w="120"/>
              <w:bottom w:type="dxa" w:w="100"/>
              <w:right w:type="dxa" w:w="120"/>
            </w:tcMar>
          </w:tcPr>
          <w:p>
            <w:r>
              <w:rPr>
                <w:b w:val="false"/>
                <w:bCs w:val="false"/>
              </w:rPr>
              <w:t xml:space="preserve">Model for how Protein Cuts should present "Premium Cuts" and "Combo Offers" — expertise-led copy, not discount-led.</w:t>
            </w:r>
          </w:p>
        </w:tc>
      </w:tr>
    </w:tbl>
    <w:p>
      <w:pPr>
        <w:pStyle w:val="Heading2"/>
        <w:spacing w:after="150" w:before="300"/>
      </w:pPr>
      <w:r>
        <w:t xml:space="preserve">3.3 What NOT to copy</w:t>
      </w:r>
    </w:p>
    <w:p>
      <w:pPr>
        <w:spacing w:after="150"/>
      </w:pPr>
      <w:r>
        <w:t xml:space="preserve">Per the brief's own instruction, no layout, copy, or visual assets are to be reproduced from any reference brand. The patterns above are described at the level of "what job the feature does for the customer," which is enough to design an original Protein Cuts version of each.</w:t>
      </w:r>
    </w:p>
    <w:p>
      <w:pPr>
        <w:pStyle w:val="Heading1"/>
        <w:spacing w:after="200" w:before="400"/>
      </w:pPr>
      <w:r>
        <w:t xml:space="preserve">4. Target User Personas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600"/>
        <w:gridCol w:w="2300"/>
      </w:tblGrid>
      <w:tr>
        <w:trPr>
          <w:tblHeader/>
        </w:trPr>
        <w:tc>
          <w:tcPr>
            <w:tcW w:type="dxa" w:w="1900"/>
            <w:shd w:fill="08120B" w:val="clear"/>
            <w:tcMar>
              <w:top w:type="dxa" w:w="100"/>
              <w:left w:type="dxa" w:w="120"/>
              <w:bottom w:type="dxa" w:w="100"/>
              <w:right w:type="dxa" w:w="120"/>
            </w:tcMar>
          </w:tcPr>
          <w:p>
            <w:r>
              <w:rPr>
                <w:b/>
                <w:bCs/>
                <w:color w:val="FFFFFF"/>
              </w:rPr>
              <w:t xml:space="preserve">Persona</w:t>
            </w:r>
          </w:p>
        </w:tc>
        <w:tc>
          <w:tcPr>
            <w:tcW w:type="dxa" w:w="2000"/>
            <w:shd w:fill="08120B" w:val="clear"/>
            <w:tcMar>
              <w:top w:type="dxa" w:w="100"/>
              <w:left w:type="dxa" w:w="120"/>
              <w:bottom w:type="dxa" w:w="100"/>
              <w:right w:type="dxa" w:w="120"/>
            </w:tcMar>
          </w:tcPr>
          <w:p>
            <w:r>
              <w:rPr>
                <w:b/>
                <w:bCs/>
                <w:color w:val="FFFFFF"/>
              </w:rPr>
              <w:t xml:space="preserve">Profile</w:t>
            </w:r>
          </w:p>
        </w:tc>
        <w:tc>
          <w:tcPr>
            <w:tcW w:type="dxa" w:w="2600"/>
            <w:shd w:fill="08120B" w:val="clear"/>
            <w:tcMar>
              <w:top w:type="dxa" w:w="100"/>
              <w:left w:type="dxa" w:w="120"/>
              <w:bottom w:type="dxa" w:w="100"/>
              <w:right w:type="dxa" w:w="120"/>
            </w:tcMar>
          </w:tcPr>
          <w:p>
            <w:r>
              <w:rPr>
                <w:b/>
                <w:bCs/>
                <w:color w:val="FFFFFF"/>
              </w:rPr>
              <w:t xml:space="preserve">Core need</w:t>
            </w:r>
          </w:p>
        </w:tc>
        <w:tc>
          <w:tcPr>
            <w:tcW w:type="dxa" w:w="2300"/>
            <w:shd w:fill="08120B" w:val="clear"/>
            <w:tcMar>
              <w:top w:type="dxa" w:w="100"/>
              <w:left w:type="dxa" w:w="120"/>
              <w:bottom w:type="dxa" w:w="100"/>
              <w:right w:type="dxa" w:w="120"/>
            </w:tcMar>
          </w:tcPr>
          <w:p>
            <w:r>
              <w:rPr>
                <w:b/>
                <w:bCs/>
                <w:color w:val="FFFFFF"/>
              </w:rPr>
              <w:t xml:space="preserve">Primary product surface</w:t>
            </w:r>
          </w:p>
        </w:tc>
      </w:tr>
      <w:tr>
        <w:tc>
          <w:tcPr>
            <w:tcW w:type="dxa" w:w="1900"/>
            <w:tcMar>
              <w:top w:type="dxa" w:w="100"/>
              <w:left w:type="dxa" w:w="120"/>
              <w:bottom w:type="dxa" w:w="100"/>
              <w:right w:type="dxa" w:w="120"/>
            </w:tcMar>
          </w:tcPr>
          <w:p>
            <w:r>
              <w:rPr>
                <w:b w:val="false"/>
                <w:bCs w:val="false"/>
              </w:rPr>
              <w:t xml:space="preserve">Priya, 34 — Working Mother</w:t>
            </w:r>
          </w:p>
        </w:tc>
        <w:tc>
          <w:tcPr>
            <w:tcW w:type="dxa" w:w="2000"/>
            <w:tcMar>
              <w:top w:type="dxa" w:w="100"/>
              <w:left w:type="dxa" w:w="120"/>
              <w:bottom w:type="dxa" w:w="100"/>
              <w:right w:type="dxa" w:w="120"/>
            </w:tcMar>
          </w:tcPr>
          <w:p>
            <w:r>
              <w:rPr>
                <w:b w:val="false"/>
                <w:bCs w:val="false"/>
              </w:rPr>
              <w:t xml:space="preserve">Bengaluru, dual-income household, orders weekly for family of 4.</w:t>
            </w:r>
          </w:p>
        </w:tc>
        <w:tc>
          <w:tcPr>
            <w:tcW w:type="dxa" w:w="2600"/>
            <w:tcMar>
              <w:top w:type="dxa" w:w="100"/>
              <w:left w:type="dxa" w:w="120"/>
              <w:bottom w:type="dxa" w:w="100"/>
              <w:right w:type="dxa" w:w="120"/>
            </w:tcMar>
          </w:tcPr>
          <w:p>
            <w:r>
              <w:rPr>
                <w:b w:val="false"/>
                <w:bCs w:val="false"/>
              </w:rPr>
              <w:t xml:space="preserve">Freshness assurance, no-hassle reorder, trustworthy cuts for kids, clear delivery windows.</w:t>
            </w:r>
          </w:p>
        </w:tc>
        <w:tc>
          <w:tcPr>
            <w:tcW w:type="dxa" w:w="2300"/>
            <w:tcMar>
              <w:top w:type="dxa" w:w="100"/>
              <w:left w:type="dxa" w:w="120"/>
              <w:bottom w:type="dxa" w:w="100"/>
              <w:right w:type="dxa" w:w="120"/>
            </w:tcMar>
          </w:tcPr>
          <w:p>
            <w:r>
              <w:rPr>
                <w:b w:val="false"/>
                <w:bCs w:val="false"/>
              </w:rPr>
              <w:t xml:space="preserve">Category browsing, subscription plans, reorder from order history, WhatsApp support.</w:t>
            </w:r>
          </w:p>
        </w:tc>
      </w:tr>
      <w:tr>
        <w:tc>
          <w:tcPr>
            <w:tcW w:type="dxa" w:w="1900"/>
            <w:shd w:fill="F5F5F5" w:val="clear"/>
            <w:tcMar>
              <w:top w:type="dxa" w:w="100"/>
              <w:left w:type="dxa" w:w="120"/>
              <w:bottom w:type="dxa" w:w="100"/>
              <w:right w:type="dxa" w:w="120"/>
            </w:tcMar>
          </w:tcPr>
          <w:p>
            <w:r>
              <w:rPr>
                <w:b w:val="false"/>
                <w:bCs w:val="false"/>
              </w:rPr>
              <w:t xml:space="preserve">Arjun, 27 — Fitness / Gym Enthusiast</w:t>
            </w:r>
          </w:p>
        </w:tc>
        <w:tc>
          <w:tcPr>
            <w:tcW w:type="dxa" w:w="2000"/>
            <w:shd w:fill="F5F5F5" w:val="clear"/>
            <w:tcMar>
              <w:top w:type="dxa" w:w="100"/>
              <w:left w:type="dxa" w:w="120"/>
              <w:bottom w:type="dxa" w:w="100"/>
              <w:right w:type="dxa" w:w="120"/>
            </w:tcMar>
          </w:tcPr>
          <w:p>
            <w:r>
              <w:rPr>
                <w:b w:val="false"/>
                <w:bCs w:val="false"/>
              </w:rPr>
              <w:t xml:space="preserve">Protein-tracking lifter, orders 2-3x/week in bulk.</w:t>
            </w:r>
          </w:p>
        </w:tc>
        <w:tc>
          <w:tcPr>
            <w:tcW w:type="dxa" w:w="2600"/>
            <w:shd w:fill="F5F5F5" w:val="clear"/>
            <w:tcMar>
              <w:top w:type="dxa" w:w="100"/>
              <w:left w:type="dxa" w:w="120"/>
              <w:bottom w:type="dxa" w:w="100"/>
              <w:right w:type="dxa" w:w="120"/>
            </w:tcMar>
          </w:tcPr>
          <w:p>
            <w:r>
              <w:rPr>
                <w:b w:val="false"/>
                <w:bCs w:val="false"/>
              </w:rPr>
              <w:t xml:space="preserve">Protein-per-100g clarity, bulk pricing, consistent quality, fast reorder.</w:t>
            </w:r>
          </w:p>
        </w:tc>
        <w:tc>
          <w:tcPr>
            <w:tcW w:type="dxa" w:w="2300"/>
            <w:shd w:fill="F5F5F5" w:val="clear"/>
            <w:tcMar>
              <w:top w:type="dxa" w:w="100"/>
              <w:left w:type="dxa" w:w="120"/>
              <w:bottom w:type="dxa" w:w="100"/>
              <w:right w:type="dxa" w:w="120"/>
            </w:tcMar>
          </w:tcPr>
          <w:p>
            <w:r>
              <w:rPr>
                <w:b w:val="false"/>
                <w:bCs w:val="false"/>
              </w:rPr>
              <w:t xml:space="preserve">Nutrition-forward product cards, bulk/wholesale tier pricing, subscription "Gym Pack."</w:t>
            </w:r>
          </w:p>
        </w:tc>
      </w:tr>
      <w:tr>
        <w:tc>
          <w:tcPr>
            <w:tcW w:type="dxa" w:w="1900"/>
            <w:tcMar>
              <w:top w:type="dxa" w:w="100"/>
              <w:left w:type="dxa" w:w="120"/>
              <w:bottom w:type="dxa" w:w="100"/>
              <w:right w:type="dxa" w:w="120"/>
            </w:tcMar>
          </w:tcPr>
          <w:p>
            <w:r>
              <w:rPr>
                <w:b w:val="false"/>
                <w:bCs w:val="false"/>
              </w:rPr>
              <w:t xml:space="preserve">Rahul &amp; Meera, 41/39 — Premium Gifting Buyer</w:t>
            </w:r>
          </w:p>
        </w:tc>
        <w:tc>
          <w:tcPr>
            <w:tcW w:type="dxa" w:w="2000"/>
            <w:tcMar>
              <w:top w:type="dxa" w:w="100"/>
              <w:left w:type="dxa" w:w="120"/>
              <w:bottom w:type="dxa" w:w="100"/>
              <w:right w:type="dxa" w:w="120"/>
            </w:tcMar>
          </w:tcPr>
          <w:p>
            <w:r>
              <w:rPr>
                <w:b w:val="false"/>
                <w:bCs w:val="false"/>
              </w:rPr>
              <w:t xml:space="preserve">Corporate gifting during festivals, high AOV, low frequency.</w:t>
            </w:r>
          </w:p>
        </w:tc>
        <w:tc>
          <w:tcPr>
            <w:tcW w:type="dxa" w:w="2600"/>
            <w:tcMar>
              <w:top w:type="dxa" w:w="100"/>
              <w:left w:type="dxa" w:w="120"/>
              <w:bottom w:type="dxa" w:w="100"/>
              <w:right w:type="dxa" w:w="120"/>
            </w:tcMar>
          </w:tcPr>
          <w:p>
            <w:r>
              <w:rPr>
                <w:b w:val="false"/>
                <w:bCs w:val="false"/>
              </w:rPr>
              <w:t xml:space="preserve">Premium presentation, reliable festival-window delivery, an occasion-appropriate combo.</w:t>
            </w:r>
          </w:p>
        </w:tc>
        <w:tc>
          <w:tcPr>
            <w:tcW w:type="dxa" w:w="2300"/>
            <w:tcMar>
              <w:top w:type="dxa" w:w="100"/>
              <w:left w:type="dxa" w:w="120"/>
              <w:bottom w:type="dxa" w:w="100"/>
              <w:right w:type="dxa" w:w="120"/>
            </w:tcMar>
          </w:tcPr>
          <w:p>
            <w:r>
              <w:rPr>
                <w:b w:val="false"/>
                <w:bCs w:val="false"/>
              </w:rPr>
              <w:t xml:space="preserve">Gifting page, Festival Combo, gift notes — already live; needs premium packaging photography in Phase 2.</w:t>
            </w:r>
          </w:p>
        </w:tc>
      </w:tr>
      <w:tr>
        <w:tc>
          <w:tcPr>
            <w:tcW w:type="dxa" w:w="1900"/>
            <w:shd w:fill="F5F5F5" w:val="clear"/>
            <w:tcMar>
              <w:top w:type="dxa" w:w="100"/>
              <w:left w:type="dxa" w:w="120"/>
              <w:bottom w:type="dxa" w:w="100"/>
              <w:right w:type="dxa" w:w="120"/>
            </w:tcMar>
          </w:tcPr>
          <w:p>
            <w:r>
              <w:rPr>
                <w:b w:val="false"/>
                <w:bCs w:val="false"/>
              </w:rPr>
              <w:t xml:space="preserve">Chef Vikram, 45 — HoReCa / Corporate Buyer</w:t>
            </w:r>
          </w:p>
        </w:tc>
        <w:tc>
          <w:tcPr>
            <w:tcW w:type="dxa" w:w="2000"/>
            <w:shd w:fill="F5F5F5" w:val="clear"/>
            <w:tcMar>
              <w:top w:type="dxa" w:w="100"/>
              <w:left w:type="dxa" w:w="120"/>
              <w:bottom w:type="dxa" w:w="100"/>
              <w:right w:type="dxa" w:w="120"/>
            </w:tcMar>
          </w:tcPr>
          <w:p>
            <w:r>
              <w:rPr>
                <w:b w:val="false"/>
                <w:bCs w:val="false"/>
              </w:rPr>
              <w:t xml:space="preserve">Restaurant owner, needs recurring bulk orders with invoicing.</w:t>
            </w:r>
          </w:p>
        </w:tc>
        <w:tc>
          <w:tcPr>
            <w:tcW w:type="dxa" w:w="2600"/>
            <w:shd w:fill="F5F5F5" w:val="clear"/>
            <w:tcMar>
              <w:top w:type="dxa" w:w="100"/>
              <w:left w:type="dxa" w:w="120"/>
              <w:bottom w:type="dxa" w:w="100"/>
              <w:right w:type="dxa" w:w="120"/>
            </w:tcMar>
          </w:tcPr>
          <w:p>
            <w:r>
              <w:rPr>
                <w:b w:val="false"/>
                <w:bCs w:val="false"/>
              </w:rPr>
              <w:t xml:space="preserve">Wholesale pricing tiers, GST invoicing, dedicated account support, consistent supply.</w:t>
            </w:r>
          </w:p>
        </w:tc>
        <w:tc>
          <w:tcPr>
            <w:tcW w:type="dxa" w:w="2300"/>
            <w:shd w:fill="F5F5F5" w:val="clear"/>
            <w:tcMar>
              <w:top w:type="dxa" w:w="100"/>
              <w:left w:type="dxa" w:w="120"/>
              <w:bottom w:type="dxa" w:w="100"/>
              <w:right w:type="dxa" w:w="120"/>
            </w:tcMar>
          </w:tcPr>
          <w:p>
            <w:r>
              <w:rPr>
                <w:b w:val="false"/>
                <w:bCs w:val="false"/>
              </w:rPr>
              <w:t xml:space="preserve">B2B/Wholesale portal — currently a static info page; needs a real quote/invoice flow in Phase 4.</w:t>
            </w:r>
          </w:p>
        </w:tc>
      </w:tr>
      <w:tr>
        <w:tc>
          <w:tcPr>
            <w:tcW w:type="dxa" w:w="1900"/>
            <w:tcMar>
              <w:top w:type="dxa" w:w="100"/>
              <w:left w:type="dxa" w:w="120"/>
              <w:bottom w:type="dxa" w:w="100"/>
              <w:right w:type="dxa" w:w="120"/>
            </w:tcMar>
          </w:tcPr>
          <w:p>
            <w:r>
              <w:rPr>
                <w:b w:val="false"/>
                <w:bCs w:val="false"/>
              </w:rPr>
              <w:t xml:space="preserve">Fathima, 30 — Halal-Conscious Shopper</w:t>
            </w:r>
          </w:p>
        </w:tc>
        <w:tc>
          <w:tcPr>
            <w:tcW w:type="dxa" w:w="2000"/>
            <w:tcMar>
              <w:top w:type="dxa" w:w="100"/>
              <w:left w:type="dxa" w:w="120"/>
              <w:bottom w:type="dxa" w:w="100"/>
              <w:right w:type="dxa" w:w="120"/>
            </w:tcMar>
          </w:tcPr>
          <w:p>
            <w:r>
              <w:rPr>
                <w:b w:val="false"/>
                <w:bCs w:val="false"/>
              </w:rPr>
              <w:t xml:space="preserve">Explicitly seeks certified halal sourcing.</w:t>
            </w:r>
          </w:p>
        </w:tc>
        <w:tc>
          <w:tcPr>
            <w:tcW w:type="dxa" w:w="2600"/>
            <w:tcMar>
              <w:top w:type="dxa" w:w="100"/>
              <w:left w:type="dxa" w:w="120"/>
              <w:bottom w:type="dxa" w:w="100"/>
              <w:right w:type="dxa" w:w="120"/>
            </w:tcMar>
          </w:tcPr>
          <w:p>
            <w:r>
              <w:rPr>
                <w:b w:val="false"/>
                <w:bCs w:val="false"/>
              </w:rPr>
              <w:t xml:space="preserve">Visible, credible halal certification, not just a badge.</w:t>
            </w:r>
          </w:p>
        </w:tc>
        <w:tc>
          <w:tcPr>
            <w:tcW w:type="dxa" w:w="2300"/>
            <w:tcMar>
              <w:top w:type="dxa" w:w="100"/>
              <w:left w:type="dxa" w:w="120"/>
              <w:bottom w:type="dxa" w:w="100"/>
              <w:right w:type="dxa" w:w="120"/>
            </w:tcMar>
          </w:tcPr>
          <w:p>
            <w:r>
              <w:rPr>
                <w:b w:val="false"/>
                <w:bCs w:val="false"/>
              </w:rPr>
              <w:t xml:space="preserve">Halal Certified badge already shown site-wide; Phase 2 should add certificate documentation, not just an icon.</w:t>
            </w:r>
          </w:p>
        </w:tc>
      </w:tr>
    </w:tbl>
    <w:p>
      <w:pPr>
        <w:pStyle w:val="Heading1"/>
        <w:spacing w:after="200" w:before="400"/>
      </w:pPr>
      <w:r>
        <w:t xml:space="preserve">5. Customer Journey 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400"/>
      </w:tblGrid>
      <w:tr>
        <w:trPr>
          <w:tblHeader/>
        </w:trPr>
        <w:tc>
          <w:tcPr>
            <w:tcW w:type="dxa" w:w="1600"/>
            <w:shd w:fill="08120B" w:val="clear"/>
            <w:tcMar>
              <w:top w:type="dxa" w:w="100"/>
              <w:left w:type="dxa" w:w="120"/>
              <w:bottom w:type="dxa" w:w="100"/>
              <w:right w:type="dxa" w:w="120"/>
            </w:tcMar>
          </w:tcPr>
          <w:p>
            <w:r>
              <w:rPr>
                <w:b/>
                <w:bCs/>
                <w:color w:val="FFFFFF"/>
              </w:rPr>
              <w:t xml:space="preserve">Stage</w:t>
            </w:r>
          </w:p>
        </w:tc>
        <w:tc>
          <w:tcPr>
            <w:tcW w:type="dxa" w:w="3800"/>
            <w:shd w:fill="08120B" w:val="clear"/>
            <w:tcMar>
              <w:top w:type="dxa" w:w="100"/>
              <w:left w:type="dxa" w:w="120"/>
              <w:bottom w:type="dxa" w:w="100"/>
              <w:right w:type="dxa" w:w="120"/>
            </w:tcMar>
          </w:tcPr>
          <w:p>
            <w:r>
              <w:rPr>
                <w:b/>
                <w:bCs/>
                <w:color w:val="FFFFFF"/>
              </w:rPr>
              <w:t xml:space="preserve">Customer behaviour &amp; touchpoints</w:t>
            </w:r>
          </w:p>
        </w:tc>
        <w:tc>
          <w:tcPr>
            <w:tcW w:type="dxa" w:w="3400"/>
            <w:shd w:fill="08120B" w:val="clear"/>
            <w:tcMar>
              <w:top w:type="dxa" w:w="100"/>
              <w:left w:type="dxa" w:w="120"/>
              <w:bottom w:type="dxa" w:w="100"/>
              <w:right w:type="dxa" w:w="120"/>
            </w:tcMar>
          </w:tcPr>
          <w:p>
            <w:r>
              <w:rPr>
                <w:b/>
                <w:bCs/>
                <w:color w:val="FFFFFF"/>
              </w:rPr>
              <w:t xml:space="preserve">Platform response (today vs. planned)</w:t>
            </w:r>
          </w:p>
        </w:tc>
      </w:tr>
      <w:tr>
        <w:tc>
          <w:tcPr>
            <w:tcW w:type="dxa" w:w="1600"/>
            <w:tcMar>
              <w:top w:type="dxa" w:w="100"/>
              <w:left w:type="dxa" w:w="120"/>
              <w:bottom w:type="dxa" w:w="100"/>
              <w:right w:type="dxa" w:w="120"/>
            </w:tcMar>
          </w:tcPr>
          <w:p>
            <w:r>
              <w:rPr>
                <w:b w:val="false"/>
                <w:bCs w:val="false"/>
              </w:rPr>
              <w:t xml:space="preserve">Awareness</w:t>
            </w:r>
          </w:p>
        </w:tc>
        <w:tc>
          <w:tcPr>
            <w:tcW w:type="dxa" w:w="3800"/>
            <w:tcMar>
              <w:top w:type="dxa" w:w="100"/>
              <w:left w:type="dxa" w:w="120"/>
              <w:bottom w:type="dxa" w:w="100"/>
              <w:right w:type="dxa" w:w="120"/>
            </w:tcMar>
          </w:tcPr>
          <w:p>
            <w:r>
              <w:rPr>
                <w:b w:val="false"/>
                <w:bCs w:val="false"/>
              </w:rPr>
              <w:t xml:space="preserve">SEO/AEO content, Instagram, WhatsApp referrals, IGO ecosystem cross-promotion (Agritech → Protein Cuts trust transfer).</w:t>
            </w:r>
          </w:p>
        </w:tc>
        <w:tc>
          <w:tcPr>
            <w:tcW w:type="dxa" w:w="3400"/>
            <w:tcMar>
              <w:top w:type="dxa" w:w="100"/>
              <w:left w:type="dxa" w:w="120"/>
              <w:bottom w:type="dxa" w:w="100"/>
              <w:right w:type="dxa" w:w="120"/>
            </w:tcMar>
          </w:tcPr>
          <w:p>
            <w:r>
              <w:rPr>
                <w:b w:val="false"/>
                <w:bCs w:val="false"/>
              </w:rPr>
              <w:t xml:space="preserve">Category-page SEO content, FAQ schema, farm-story content.</w:t>
            </w:r>
          </w:p>
        </w:tc>
      </w:tr>
      <w:tr>
        <w:tc>
          <w:tcPr>
            <w:tcW w:type="dxa" w:w="1600"/>
            <w:shd w:fill="F5F5F5" w:val="clear"/>
            <w:tcMar>
              <w:top w:type="dxa" w:w="100"/>
              <w:left w:type="dxa" w:w="120"/>
              <w:bottom w:type="dxa" w:w="100"/>
              <w:right w:type="dxa" w:w="120"/>
            </w:tcMar>
          </w:tcPr>
          <w:p>
            <w:r>
              <w:rPr>
                <w:b w:val="false"/>
                <w:bCs w:val="false"/>
              </w:rPr>
              <w:t xml:space="preserve">Consideration</w:t>
            </w:r>
          </w:p>
        </w:tc>
        <w:tc>
          <w:tcPr>
            <w:tcW w:type="dxa" w:w="3800"/>
            <w:shd w:fill="F5F5F5" w:val="clear"/>
            <w:tcMar>
              <w:top w:type="dxa" w:w="100"/>
              <w:left w:type="dxa" w:w="120"/>
              <w:bottom w:type="dxa" w:w="100"/>
              <w:right w:type="dxa" w:w="120"/>
            </w:tcMar>
          </w:tcPr>
          <w:p>
            <w:r>
              <w:rPr>
                <w:b w:val="false"/>
                <w:bCs w:val="false"/>
              </w:rPr>
              <w:t xml:space="preserve">Homepage trust signals (certifications, freshness promise), product comparison, reviews.</w:t>
            </w:r>
          </w:p>
        </w:tc>
        <w:tc>
          <w:tcPr>
            <w:tcW w:type="dxa" w:w="3400"/>
            <w:shd w:fill="F5F5F5" w:val="clear"/>
            <w:tcMar>
              <w:top w:type="dxa" w:w="100"/>
              <w:left w:type="dxa" w:w="120"/>
              <w:bottom w:type="dxa" w:w="100"/>
              <w:right w:type="dxa" w:w="120"/>
            </w:tcMar>
          </w:tcPr>
          <w:p>
            <w:r>
              <w:rPr>
                <w:b w:val="false"/>
                <w:bCs w:val="false"/>
              </w:rPr>
              <w:t xml:space="preserve">Live: Why Choose Us, Freshness Promise, Customer Reviews, FAQ. Phase 2: comparison/wishlist.</w:t>
            </w:r>
          </w:p>
        </w:tc>
      </w:tr>
      <w:tr>
        <w:tc>
          <w:tcPr>
            <w:tcW w:type="dxa" w:w="1600"/>
            <w:tcMar>
              <w:top w:type="dxa" w:w="100"/>
              <w:left w:type="dxa" w:w="120"/>
              <w:bottom w:type="dxa" w:w="100"/>
              <w:right w:type="dxa" w:w="120"/>
            </w:tcMar>
          </w:tcPr>
          <w:p>
            <w:r>
              <w:rPr>
                <w:b w:val="false"/>
                <w:bCs w:val="false"/>
              </w:rPr>
              <w:t xml:space="preserve">Purchase</w:t>
            </w:r>
          </w:p>
        </w:tc>
        <w:tc>
          <w:tcPr>
            <w:tcW w:type="dxa" w:w="3800"/>
            <w:tcMar>
              <w:top w:type="dxa" w:w="100"/>
              <w:left w:type="dxa" w:w="120"/>
              <w:bottom w:type="dxa" w:w="100"/>
              <w:right w:type="dxa" w:w="120"/>
            </w:tcMar>
          </w:tcPr>
          <w:p>
            <w:r>
              <w:rPr>
                <w:b w:val="false"/>
                <w:bCs w:val="false"/>
              </w:rPr>
              <w:t xml:space="preserve">Add to cart / Buy Now → 4-step checkout (address, slot, coupon, payment) → confirmation.</w:t>
            </w:r>
          </w:p>
        </w:tc>
        <w:tc>
          <w:tcPr>
            <w:tcW w:type="dxa" w:w="3400"/>
            <w:tcMar>
              <w:top w:type="dxa" w:w="100"/>
              <w:left w:type="dxa" w:w="120"/>
              <w:bottom w:type="dxa" w:w="100"/>
              <w:right w:type="dxa" w:w="120"/>
            </w:tcMar>
          </w:tcPr>
          <w:p>
            <w:r>
              <w:rPr>
                <w:b w:val="false"/>
                <w:bCs w:val="false"/>
              </w:rPr>
              <w:t xml:space="preserve">Live and verified working end-to-end. Phase 3: guest checkout, saved cards.</w:t>
            </w:r>
          </w:p>
        </w:tc>
      </w:tr>
      <w:tr>
        <w:tc>
          <w:tcPr>
            <w:tcW w:type="dxa" w:w="1600"/>
            <w:shd w:fill="F5F5F5" w:val="clear"/>
            <w:tcMar>
              <w:top w:type="dxa" w:w="100"/>
              <w:left w:type="dxa" w:w="120"/>
              <w:bottom w:type="dxa" w:w="100"/>
              <w:right w:type="dxa" w:w="120"/>
            </w:tcMar>
          </w:tcPr>
          <w:p>
            <w:r>
              <w:rPr>
                <w:b w:val="false"/>
                <w:bCs w:val="false"/>
              </w:rPr>
              <w:t xml:space="preserve">Fulfillment</w:t>
            </w:r>
          </w:p>
        </w:tc>
        <w:tc>
          <w:tcPr>
            <w:tcW w:type="dxa" w:w="3800"/>
            <w:shd w:fill="F5F5F5" w:val="clear"/>
            <w:tcMar>
              <w:top w:type="dxa" w:w="100"/>
              <w:left w:type="dxa" w:w="120"/>
              <w:bottom w:type="dxa" w:w="100"/>
              <w:right w:type="dxa" w:w="120"/>
            </w:tcMar>
          </w:tcPr>
          <w:p>
            <w:r>
              <w:rPr>
                <w:b w:val="false"/>
                <w:bCs w:val="false"/>
              </w:rPr>
              <w:t xml:space="preserve">30-min express or scheduled slot, cold-chain packaging, live order tracking.</w:t>
            </w:r>
          </w:p>
        </w:tc>
        <w:tc>
          <w:tcPr>
            <w:tcW w:type="dxa" w:w="3400"/>
            <w:shd w:fill="F5F5F5" w:val="clear"/>
            <w:tcMar>
              <w:top w:type="dxa" w:w="100"/>
              <w:left w:type="dxa" w:w="120"/>
              <w:bottom w:type="dxa" w:w="100"/>
              <w:right w:type="dxa" w:w="120"/>
            </w:tcMar>
          </w:tcPr>
          <w:p>
            <w:r>
              <w:rPr>
                <w:b w:val="false"/>
                <w:bCs w:val="false"/>
              </w:rPr>
              <w:t xml:space="preserve">Live: order tracking page, driver details, status timeline.</w:t>
            </w:r>
          </w:p>
        </w:tc>
      </w:tr>
      <w:tr>
        <w:tc>
          <w:tcPr>
            <w:tcW w:type="dxa" w:w="1600"/>
            <w:tcMar>
              <w:top w:type="dxa" w:w="100"/>
              <w:left w:type="dxa" w:w="120"/>
              <w:bottom w:type="dxa" w:w="100"/>
              <w:right w:type="dxa" w:w="120"/>
            </w:tcMar>
          </w:tcPr>
          <w:p>
            <w:r>
              <w:rPr>
                <w:b w:val="false"/>
                <w:bCs w:val="false"/>
              </w:rPr>
              <w:t xml:space="preserve">Retention</w:t>
            </w:r>
          </w:p>
        </w:tc>
        <w:tc>
          <w:tcPr>
            <w:tcW w:type="dxa" w:w="3800"/>
            <w:tcMar>
              <w:top w:type="dxa" w:w="100"/>
              <w:left w:type="dxa" w:w="120"/>
              <w:bottom w:type="dxa" w:w="100"/>
              <w:right w:type="dxa" w:w="120"/>
            </w:tcMar>
          </w:tcPr>
          <w:p>
            <w:r>
              <w:rPr>
                <w:b w:val="false"/>
                <w:bCs w:val="false"/>
              </w:rPr>
              <w:t xml:space="preserve">Reorder, subscriptions, wallet/loyalty points, WhatsApp re-engagement.</w:t>
            </w:r>
          </w:p>
        </w:tc>
        <w:tc>
          <w:tcPr>
            <w:tcW w:type="dxa" w:w="3400"/>
            <w:tcMar>
              <w:top w:type="dxa" w:w="100"/>
              <w:left w:type="dxa" w:w="120"/>
              <w:bottom w:type="dxa" w:w="100"/>
              <w:right w:type="dxa" w:w="120"/>
            </w:tcMar>
          </w:tcPr>
          <w:p>
            <w:r>
              <w:rPr>
                <w:b w:val="false"/>
                <w:bCs w:val="false"/>
              </w:rPr>
              <w:t xml:space="preserve">Live: subscriptions, IGO Wallet. Phase 3: loyalty points, win-back automation.</w:t>
            </w:r>
          </w:p>
        </w:tc>
      </w:tr>
      <w:tr>
        <w:tc>
          <w:tcPr>
            <w:tcW w:type="dxa" w:w="1600"/>
            <w:shd w:fill="F5F5F5" w:val="clear"/>
            <w:tcMar>
              <w:top w:type="dxa" w:w="100"/>
              <w:left w:type="dxa" w:w="120"/>
              <w:bottom w:type="dxa" w:w="100"/>
              <w:right w:type="dxa" w:w="120"/>
            </w:tcMar>
          </w:tcPr>
          <w:p>
            <w:r>
              <w:rPr>
                <w:b w:val="false"/>
                <w:bCs w:val="false"/>
              </w:rPr>
              <w:t xml:space="preserve">Advocacy</w:t>
            </w:r>
          </w:p>
        </w:tc>
        <w:tc>
          <w:tcPr>
            <w:tcW w:type="dxa" w:w="3800"/>
            <w:shd w:fill="F5F5F5" w:val="clear"/>
            <w:tcMar>
              <w:top w:type="dxa" w:w="100"/>
              <w:left w:type="dxa" w:w="120"/>
              <w:bottom w:type="dxa" w:w="100"/>
              <w:right w:type="dxa" w:w="120"/>
            </w:tcMar>
          </w:tcPr>
          <w:p>
            <w:r>
              <w:rPr>
                <w:b w:val="false"/>
                <w:bCs w:val="false"/>
              </w:rPr>
              <w:t xml:space="preserve">Reviews, referrals, social sharing, gifting to others.</w:t>
            </w:r>
          </w:p>
        </w:tc>
        <w:tc>
          <w:tcPr>
            <w:tcW w:type="dxa" w:w="3400"/>
            <w:shd w:fill="F5F5F5" w:val="clear"/>
            <w:tcMar>
              <w:top w:type="dxa" w:w="100"/>
              <w:left w:type="dxa" w:w="120"/>
              <w:bottom w:type="dxa" w:w="100"/>
              <w:right w:type="dxa" w:w="120"/>
            </w:tcMar>
          </w:tcPr>
          <w:p>
            <w:r>
              <w:rPr>
                <w:b w:val="false"/>
                <w:bCs w:val="false"/>
              </w:rPr>
              <w:t xml:space="preserve">Live: reviews section. Phase 3: referral program.</w:t>
            </w:r>
          </w:p>
        </w:tc>
      </w:tr>
    </w:tbl>
    <w:p>
      <w:pPr>
        <w:pStyle w:val="Heading1"/>
        <w:spacing w:after="200" w:before="400"/>
      </w:pPr>
      <w:r>
        <w:t xml:space="preserve">6. Information Architecture &amp; Sitemap</w:t>
      </w:r>
    </w:p>
    <w:p>
      <w:pPr>
        <w:spacing w:after="150"/>
      </w:pPr>
      <w:r>
        <w:t xml:space="preserve">This sitemap reflects the site as it actually exists in the live codebase today (verified by direct route inspection of App.tsx), plus the additional pages the enterprise brief calls for, marked by phase.</w:t>
      </w:r>
    </w:p>
    <w:p>
      <w:pPr>
        <w:pStyle w:val="Heading2"/>
        <w:spacing w:after="150" w:before="300"/>
      </w:pPr>
      <w:r>
        <w:t xml:space="preserve">6.1 Live Today</w:t>
      </w:r>
    </w:p>
    <w:p>
      <w:pPr>
        <w:pStyle w:val="ListParagraph"/>
        <w:numPr>
          <w:ilvl w:val="0"/>
          <w:numId w:val="2"/>
        </w:numPr>
        <w:spacing w:after="80"/>
      </w:pPr>
      <w:r>
        <w:t xml:space="preserve">Home  •  Category pages (Chicken, Mutton, Fish, Dry Fish, Eggs, Ready-to-Cook, Frozen Food, Biryani, Cold Cuts)</w:t>
      </w:r>
    </w:p>
    <w:p>
      <w:pPr>
        <w:pStyle w:val="ListParagraph"/>
        <w:numPr>
          <w:ilvl w:val="0"/>
          <w:numId w:val="2"/>
        </w:numPr>
        <w:spacing w:after="80"/>
      </w:pPr>
      <w:r>
        <w:t xml:space="preserve">Search &amp; Browse (with filters)  •  Product Detail  •  Offers &amp; Deals  •  Subscriptions  •  Recipes</w:t>
      </w:r>
    </w:p>
    <w:p>
      <w:pPr>
        <w:pStyle w:val="ListParagraph"/>
        <w:numPr>
          <w:ilvl w:val="0"/>
          <w:numId w:val="2"/>
        </w:numPr>
        <w:spacing w:after="80"/>
      </w:pPr>
      <w:r>
        <w:t xml:space="preserve">Gifting  •  Wishlist  •  Cart &amp; 4-step Checkout  •  Order Confirmation &amp; Tracking</w:t>
      </w:r>
    </w:p>
    <w:p>
      <w:pPr>
        <w:pStyle w:val="ListParagraph"/>
        <w:numPr>
          <w:ilvl w:val="0"/>
          <w:numId w:val="2"/>
        </w:numPr>
        <w:spacing w:after="80"/>
      </w:pPr>
      <w:r>
        <w:t xml:space="preserve">My Account (orders, addresses, wallet)  •  About  •  Franchise  •  B2B/Wholesale (info)  •  Careers  •  Contact  •  Policies  •  Admin (staff login)</w:t>
      </w:r>
    </w:p>
    <w:p>
      <w:pPr>
        <w:pStyle w:val="Heading2"/>
        <w:spacing w:after="150" w:before="300"/>
      </w:pPr>
      <w:r>
        <w:t xml:space="preserve">6.2 Phase 2 additions (design-system-led polish, same stack)</w:t>
      </w:r>
    </w:p>
    <w:p>
      <w:pPr>
        <w:pStyle w:val="ListParagraph"/>
        <w:numPr>
          <w:ilvl w:val="0"/>
          <w:numId w:val="2"/>
        </w:numPr>
        <w:spacing w:after="80"/>
      </w:pPr>
      <w:r>
        <w:t xml:space="preserve">Farm/fishery story pages linked from each product (Crowd Cow-style traceability)</w:t>
      </w:r>
    </w:p>
    <w:p>
      <w:pPr>
        <w:pStyle w:val="ListParagraph"/>
        <w:numPr>
          <w:ilvl w:val="0"/>
          <w:numId w:val="2"/>
        </w:numPr>
        <w:spacing w:after="80"/>
      </w:pPr>
      <w:r>
        <w:t xml:space="preserve">Product compare + "recently viewed"  •  Reviews with photo/video upload</w:t>
      </w:r>
    </w:p>
    <w:p>
      <w:pPr>
        <w:pStyle w:val="ListParagraph"/>
        <w:numPr>
          <w:ilvl w:val="0"/>
          <w:numId w:val="2"/>
        </w:numPr>
        <w:spacing w:after="80"/>
      </w:pPr>
      <w:r>
        <w:t xml:space="preserve">Membership/loyalty tier page  •  Cooking Academy content hub (expanded Recipes)</w:t>
      </w:r>
    </w:p>
    <w:p>
      <w:pPr>
        <w:pStyle w:val="Heading2"/>
        <w:spacing w:after="150" w:before="300"/>
      </w:pPr>
      <w:r>
        <w:t xml:space="preserve">6.3 Phase 3-4 additions (require new backend capability)</w:t>
      </w:r>
    </w:p>
    <w:p>
      <w:pPr>
        <w:pStyle w:val="ListParagraph"/>
        <w:numPr>
          <w:ilvl w:val="0"/>
          <w:numId w:val="2"/>
        </w:numPr>
        <w:spacing w:after="80"/>
      </w:pPr>
      <w:r>
        <w:t xml:space="preserve">Corporate/Wholesale self-serve quoting and GST invoicing portal</w:t>
      </w:r>
    </w:p>
    <w:p>
      <w:pPr>
        <w:pStyle w:val="ListParagraph"/>
        <w:numPr>
          <w:ilvl w:val="0"/>
          <w:numId w:val="2"/>
        </w:numPr>
        <w:spacing w:after="80"/>
      </w:pPr>
      <w:r>
        <w:t xml:space="preserve">Franchise application workflow (currently a static page)</w:t>
      </w:r>
    </w:p>
    <w:p>
      <w:pPr>
        <w:pStyle w:val="ListParagraph"/>
        <w:numPr>
          <w:ilvl w:val="0"/>
          <w:numId w:val="2"/>
        </w:numPr>
        <w:spacing w:after="80"/>
      </w:pPr>
      <w:r>
        <w:t xml:space="preserve">Admin: inventory, order, customer, marketing, and reporting dashboards</w:t>
      </w:r>
    </w:p>
    <w:p>
      <w:pPr>
        <w:pStyle w:val="ListParagraph"/>
        <w:numPr>
          <w:ilvl w:val="0"/>
          <w:numId w:val="2"/>
        </w:numPr>
        <w:spacing w:after="80"/>
      </w:pPr>
      <w:r>
        <w:t xml:space="preserve">Vendor, warehouse and delivery-partner portals</w:t>
      </w:r>
    </w:p>
    <w:p>
      <w:pPr>
        <w:pStyle w:val="ListParagraph"/>
        <w:numPr>
          <w:ilvl w:val="0"/>
          <w:numId w:val="2"/>
        </w:numPr>
        <w:spacing w:after="80"/>
      </w:pPr>
      <w:r>
        <w:t xml:space="preserve">AI search, voice search, and personalised homepage</w:t>
      </w:r>
    </w:p>
    <w:p>
      <w:pPr>
        <w:pStyle w:val="Heading1"/>
        <w:spacing w:after="200" w:before="400"/>
      </w:pPr>
      <w:r>
        <w:t xml:space="preserve">7. Feature Prioritization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400"/>
        <w:gridCol w:w="2800"/>
      </w:tblGrid>
      <w:tr>
        <w:trPr>
          <w:tblHeader/>
        </w:trPr>
        <w:tc>
          <w:tcPr>
            <w:tcW w:type="dxa" w:w="3400"/>
            <w:shd w:fill="08120B" w:val="clear"/>
            <w:tcMar>
              <w:top w:type="dxa" w:w="100"/>
              <w:left w:type="dxa" w:w="120"/>
              <w:bottom w:type="dxa" w:w="100"/>
              <w:right w:type="dxa" w:w="120"/>
            </w:tcMar>
          </w:tcPr>
          <w:p>
            <w:r>
              <w:rPr>
                <w:b/>
                <w:bCs/>
                <w:color w:val="FFFFFF"/>
              </w:rPr>
              <w:t xml:space="preserve">Feature</w:t>
            </w:r>
          </w:p>
        </w:tc>
        <w:tc>
          <w:tcPr>
            <w:tcW w:type="dxa" w:w="1200"/>
            <w:shd w:fill="08120B" w:val="clear"/>
            <w:tcMar>
              <w:top w:type="dxa" w:w="100"/>
              <w:left w:type="dxa" w:w="120"/>
              <w:bottom w:type="dxa" w:w="100"/>
              <w:right w:type="dxa" w:w="120"/>
            </w:tcMar>
          </w:tcPr>
          <w:p>
            <w:r>
              <w:rPr>
                <w:b/>
                <w:bCs/>
                <w:color w:val="FFFFFF"/>
              </w:rPr>
              <w:t xml:space="preserve">Priority</w:t>
            </w:r>
          </w:p>
        </w:tc>
        <w:tc>
          <w:tcPr>
            <w:tcW w:type="dxa" w:w="1400"/>
            <w:shd w:fill="08120B" w:val="clear"/>
            <w:tcMar>
              <w:top w:type="dxa" w:w="100"/>
              <w:left w:type="dxa" w:w="120"/>
              <w:bottom w:type="dxa" w:w="100"/>
              <w:right w:type="dxa" w:w="120"/>
            </w:tcMar>
          </w:tcPr>
          <w:p>
            <w:r>
              <w:rPr>
                <w:b/>
                <w:bCs/>
                <w:color w:val="FFFFFF"/>
              </w:rPr>
              <w:t xml:space="preserve">Target phase</w:t>
            </w:r>
          </w:p>
        </w:tc>
        <w:tc>
          <w:tcPr>
            <w:tcW w:type="dxa" w:w="2800"/>
            <w:shd w:fill="08120B" w:val="clear"/>
            <w:tcMar>
              <w:top w:type="dxa" w:w="100"/>
              <w:left w:type="dxa" w:w="120"/>
              <w:bottom w:type="dxa" w:w="100"/>
              <w:right w:type="dxa" w:w="120"/>
            </w:tcMar>
          </w:tcPr>
          <w:p>
            <w:r>
              <w:rPr>
                <w:b/>
                <w:bCs/>
                <w:color w:val="FFFFFF"/>
              </w:rPr>
              <w:t xml:space="preserve">Note</w:t>
            </w:r>
          </w:p>
        </w:tc>
      </w:tr>
      <w:tr>
        <w:tc>
          <w:tcPr>
            <w:tcW w:type="dxa" w:w="3400"/>
            <w:tcMar>
              <w:top w:type="dxa" w:w="100"/>
              <w:left w:type="dxa" w:w="120"/>
              <w:bottom w:type="dxa" w:w="100"/>
              <w:right w:type="dxa" w:w="120"/>
            </w:tcMar>
          </w:tcPr>
          <w:p>
            <w:r>
              <w:rPr>
                <w:b w:val="false"/>
                <w:bCs w:val="false"/>
              </w:rPr>
              <w:t xml:space="preserve">Working auth, cart, checkout, order tracking</w:t>
            </w:r>
          </w:p>
        </w:tc>
        <w:tc>
          <w:tcPr>
            <w:tcW w:type="dxa" w:w="1200"/>
            <w:tcMar>
              <w:top w:type="dxa" w:w="100"/>
              <w:left w:type="dxa" w:w="120"/>
              <w:bottom w:type="dxa" w:w="100"/>
              <w:right w:type="dxa" w:w="120"/>
            </w:tcMar>
          </w:tcPr>
          <w:p>
            <w:r>
              <w:rPr>
                <w:b w:val="false"/>
                <w:bCs w:val="false"/>
              </w:rPr>
              <w:t xml:space="preserve">Done</w:t>
            </w:r>
          </w:p>
        </w:tc>
        <w:tc>
          <w:tcPr>
            <w:tcW w:type="dxa" w:w="1400"/>
            <w:tcMar>
              <w:top w:type="dxa" w:w="100"/>
              <w:left w:type="dxa" w:w="120"/>
              <w:bottom w:type="dxa" w:w="100"/>
              <w:right w:type="dxa" w:w="120"/>
            </w:tcMar>
          </w:tcPr>
          <w:p>
            <w:r>
              <w:rPr>
                <w:b w:val="false"/>
                <w:bCs w:val="false"/>
              </w:rPr>
              <w:t xml:space="preserve">Live</w:t>
            </w:r>
          </w:p>
        </w:tc>
        <w:tc>
          <w:tcPr>
            <w:tcW w:type="dxa" w:w="2800"/>
            <w:tcMar>
              <w:top w:type="dxa" w:w="100"/>
              <w:left w:type="dxa" w:w="120"/>
              <w:bottom w:type="dxa" w:w="100"/>
              <w:right w:type="dxa" w:w="120"/>
            </w:tcMar>
          </w:tcPr>
          <w:p>
            <w:r>
              <w:rPr>
                <w:b w:val="false"/>
                <w:bCs w:val="false"/>
              </w:rPr>
              <w:t xml:space="preserve">Verified end-to-end this session</w:t>
            </w:r>
          </w:p>
        </w:tc>
      </w:tr>
      <w:tr>
        <w:tc>
          <w:tcPr>
            <w:tcW w:type="dxa" w:w="3400"/>
            <w:shd w:fill="F5F5F5" w:val="clear"/>
            <w:tcMar>
              <w:top w:type="dxa" w:w="100"/>
              <w:left w:type="dxa" w:w="120"/>
              <w:bottom w:type="dxa" w:w="100"/>
              <w:right w:type="dxa" w:w="120"/>
            </w:tcMar>
          </w:tcPr>
          <w:p>
            <w:r>
              <w:rPr>
                <w:b w:val="false"/>
                <w:bCs w:val="false"/>
              </w:rPr>
              <w:t xml:space="preserve">17-section homepage (categories, deals, subscriptions, combos, farms, FAQ, etc.)</w:t>
            </w:r>
          </w:p>
        </w:tc>
        <w:tc>
          <w:tcPr>
            <w:tcW w:type="dxa" w:w="1200"/>
            <w:shd w:fill="F5F5F5" w:val="clear"/>
            <w:tcMar>
              <w:top w:type="dxa" w:w="100"/>
              <w:left w:type="dxa" w:w="120"/>
              <w:bottom w:type="dxa" w:w="100"/>
              <w:right w:type="dxa" w:w="120"/>
            </w:tcMar>
          </w:tcPr>
          <w:p>
            <w:r>
              <w:rPr>
                <w:b w:val="false"/>
                <w:bCs w:val="false"/>
              </w:rPr>
              <w:t xml:space="preserve">Done</w:t>
            </w:r>
          </w:p>
        </w:tc>
        <w:tc>
          <w:tcPr>
            <w:tcW w:type="dxa" w:w="1400"/>
            <w:shd w:fill="F5F5F5" w:val="clear"/>
            <w:tcMar>
              <w:top w:type="dxa" w:w="100"/>
              <w:left w:type="dxa" w:w="120"/>
              <w:bottom w:type="dxa" w:w="100"/>
              <w:right w:type="dxa" w:w="120"/>
            </w:tcMar>
          </w:tcPr>
          <w:p>
            <w:r>
              <w:rPr>
                <w:b w:val="false"/>
                <w:bCs w:val="false"/>
              </w:rPr>
              <w:t xml:space="preserve">Live</w:t>
            </w:r>
          </w:p>
        </w:tc>
        <w:tc>
          <w:tcPr>
            <w:tcW w:type="dxa" w:w="2800"/>
            <w:shd w:fill="F5F5F5" w:val="clear"/>
            <w:tcMar>
              <w:top w:type="dxa" w:w="100"/>
              <w:left w:type="dxa" w:w="120"/>
              <w:bottom w:type="dxa" w:w="100"/>
              <w:right w:type="dxa" w:w="120"/>
            </w:tcMar>
          </w:tcPr>
          <w:p>
            <w:r>
              <w:rPr>
                <w:b w:val="false"/>
                <w:bCs w:val="false"/>
              </w:rPr>
              <w:t xml:space="preserve">Built and reordered to spec in prior sessions</w:t>
            </w:r>
          </w:p>
        </w:tc>
      </w:tr>
      <w:tr>
        <w:tc>
          <w:tcPr>
            <w:tcW w:type="dxa" w:w="3400"/>
            <w:tcMar>
              <w:top w:type="dxa" w:w="100"/>
              <w:left w:type="dxa" w:w="120"/>
              <w:bottom w:type="dxa" w:w="100"/>
              <w:right w:type="dxa" w:w="120"/>
            </w:tcMar>
          </w:tcPr>
          <w:p>
            <w:r>
              <w:rPr>
                <w:b w:val="false"/>
                <w:bCs w:val="false"/>
              </w:rPr>
              <w:t xml:space="preserve">Buy Now button, footer policy links</w:t>
            </w:r>
          </w:p>
        </w:tc>
        <w:tc>
          <w:tcPr>
            <w:tcW w:type="dxa" w:w="1200"/>
            <w:tcMar>
              <w:top w:type="dxa" w:w="100"/>
              <w:left w:type="dxa" w:w="120"/>
              <w:bottom w:type="dxa" w:w="100"/>
              <w:right w:type="dxa" w:w="120"/>
            </w:tcMar>
          </w:tcPr>
          <w:p>
            <w:r>
              <w:rPr>
                <w:b w:val="false"/>
                <w:bCs w:val="false"/>
              </w:rPr>
              <w:t xml:space="preserve">Done</w:t>
            </w:r>
          </w:p>
        </w:tc>
        <w:tc>
          <w:tcPr>
            <w:tcW w:type="dxa" w:w="1400"/>
            <w:tcMar>
              <w:top w:type="dxa" w:w="100"/>
              <w:left w:type="dxa" w:w="120"/>
              <w:bottom w:type="dxa" w:w="100"/>
              <w:right w:type="dxa" w:w="120"/>
            </w:tcMar>
          </w:tcPr>
          <w:p>
            <w:r>
              <w:rPr>
                <w:b w:val="false"/>
                <w:bCs w:val="false"/>
              </w:rPr>
              <w:t xml:space="preserve">Live</w:t>
            </w:r>
          </w:p>
        </w:tc>
        <w:tc>
          <w:tcPr>
            <w:tcW w:type="dxa" w:w="2800"/>
            <w:tcMar>
              <w:top w:type="dxa" w:w="100"/>
              <w:left w:type="dxa" w:w="120"/>
              <w:bottom w:type="dxa" w:w="100"/>
              <w:right w:type="dxa" w:w="120"/>
            </w:tcMar>
          </w:tcPr>
          <w:p>
            <w:r>
              <w:rPr>
                <w:b w:val="false"/>
                <w:bCs w:val="false"/>
              </w:rPr>
              <w:t xml:space="preserve">Completed this session</w:t>
            </w:r>
          </w:p>
        </w:tc>
      </w:tr>
      <w:tr>
        <w:tc>
          <w:tcPr>
            <w:tcW w:type="dxa" w:w="3400"/>
            <w:shd w:fill="F5F5F5" w:val="clear"/>
            <w:tcMar>
              <w:top w:type="dxa" w:w="100"/>
              <w:left w:type="dxa" w:w="120"/>
              <w:bottom w:type="dxa" w:w="100"/>
              <w:right w:type="dxa" w:w="120"/>
            </w:tcMar>
          </w:tcPr>
          <w:p>
            <w:r>
              <w:rPr>
                <w:b w:val="false"/>
                <w:bCs w:val="false"/>
              </w:rPr>
              <w:t xml:space="preserve">Named farm/fishery traceability per product</w:t>
            </w:r>
          </w:p>
        </w:tc>
        <w:tc>
          <w:tcPr>
            <w:tcW w:type="dxa" w:w="1200"/>
            <w:shd w:fill="F5F5F5" w:val="clear"/>
            <w:tcMar>
              <w:top w:type="dxa" w:w="100"/>
              <w:left w:type="dxa" w:w="120"/>
              <w:bottom w:type="dxa" w:w="100"/>
              <w:right w:type="dxa" w:w="120"/>
            </w:tcMar>
          </w:tcPr>
          <w:p>
            <w:r>
              <w:rPr>
                <w:b w:val="false"/>
                <w:bCs w:val="false"/>
              </w:rPr>
              <w:t xml:space="preserve">Now</w:t>
            </w:r>
          </w:p>
        </w:tc>
        <w:tc>
          <w:tcPr>
            <w:tcW w:type="dxa" w:w="1400"/>
            <w:shd w:fill="F5F5F5" w:val="clear"/>
            <w:tcMar>
              <w:top w:type="dxa" w:w="100"/>
              <w:left w:type="dxa" w:w="120"/>
              <w:bottom w:type="dxa" w:w="100"/>
              <w:right w:type="dxa" w:w="120"/>
            </w:tcMar>
          </w:tcPr>
          <w:p>
            <w:r>
              <w:rPr>
                <w:b w:val="false"/>
                <w:bCs w:val="false"/>
              </w:rPr>
              <w:t xml:space="preserve">Phase 2</w:t>
            </w:r>
          </w:p>
        </w:tc>
        <w:tc>
          <w:tcPr>
            <w:tcW w:type="dxa" w:w="2800"/>
            <w:shd w:fill="F5F5F5" w:val="clear"/>
            <w:tcMar>
              <w:top w:type="dxa" w:w="100"/>
              <w:left w:type="dxa" w:w="120"/>
              <w:bottom w:type="dxa" w:w="100"/>
              <w:right w:type="dxa" w:w="120"/>
            </w:tcMar>
          </w:tcPr>
          <w:p>
            <w:r>
              <w:rPr>
                <w:b w:val="false"/>
                <w:bCs w:val="false"/>
              </w:rPr>
              <w:t xml:space="preserve">Highest-leverage idea from competitive research (Crowd Cow pattern)</w:t>
            </w:r>
          </w:p>
        </w:tc>
      </w:tr>
      <w:tr>
        <w:tc>
          <w:tcPr>
            <w:tcW w:type="dxa" w:w="3400"/>
            <w:tcMar>
              <w:top w:type="dxa" w:w="100"/>
              <w:left w:type="dxa" w:w="120"/>
              <w:bottom w:type="dxa" w:w="100"/>
              <w:right w:type="dxa" w:w="120"/>
            </w:tcMar>
          </w:tcPr>
          <w:p>
            <w:r>
              <w:rPr>
                <w:b w:val="false"/>
                <w:bCs w:val="false"/>
              </w:rPr>
              <w:t xml:space="preserve">Design system documentation (tokens, components)</w:t>
            </w:r>
          </w:p>
        </w:tc>
        <w:tc>
          <w:tcPr>
            <w:tcW w:type="dxa" w:w="1200"/>
            <w:tcMar>
              <w:top w:type="dxa" w:w="100"/>
              <w:left w:type="dxa" w:w="120"/>
              <w:bottom w:type="dxa" w:w="100"/>
              <w:right w:type="dxa" w:w="120"/>
            </w:tcMar>
          </w:tcPr>
          <w:p>
            <w:r>
              <w:rPr>
                <w:b w:val="false"/>
                <w:bCs w:val="false"/>
              </w:rPr>
              <w:t xml:space="preserve">Now</w:t>
            </w:r>
          </w:p>
        </w:tc>
        <w:tc>
          <w:tcPr>
            <w:tcW w:type="dxa" w:w="1400"/>
            <w:tcMar>
              <w:top w:type="dxa" w:w="100"/>
              <w:left w:type="dxa" w:w="120"/>
              <w:bottom w:type="dxa" w:w="100"/>
              <w:right w:type="dxa" w:w="120"/>
            </w:tcMar>
          </w:tcPr>
          <w:p>
            <w:r>
              <w:rPr>
                <w:b w:val="false"/>
                <w:bCs w:val="false"/>
              </w:rPr>
              <w:t xml:space="preserve">Phase 2</w:t>
            </w:r>
          </w:p>
        </w:tc>
        <w:tc>
          <w:tcPr>
            <w:tcW w:type="dxa" w:w="2800"/>
            <w:tcMar>
              <w:top w:type="dxa" w:w="100"/>
              <w:left w:type="dxa" w:w="120"/>
              <w:bottom w:type="dxa" w:w="100"/>
              <w:right w:type="dxa" w:w="120"/>
            </w:tcMar>
          </w:tcPr>
          <w:p>
            <w:r>
              <w:rPr>
                <w:b w:val="false"/>
                <w:bCs w:val="false"/>
              </w:rPr>
              <w:t xml:space="preserve">Prerequisite for any further design work at "enterprise" quality</w:t>
            </w:r>
          </w:p>
        </w:tc>
      </w:tr>
      <w:tr>
        <w:tc>
          <w:tcPr>
            <w:tcW w:type="dxa" w:w="3400"/>
            <w:shd w:fill="F5F5F5" w:val="clear"/>
            <w:tcMar>
              <w:top w:type="dxa" w:w="100"/>
              <w:left w:type="dxa" w:w="120"/>
              <w:bottom w:type="dxa" w:w="100"/>
              <w:right w:type="dxa" w:w="120"/>
            </w:tcMar>
          </w:tcPr>
          <w:p>
            <w:r>
              <w:rPr>
                <w:b w:val="false"/>
                <w:bCs w:val="false"/>
              </w:rPr>
              <w:t xml:space="preserve">Subscription cadence + skip/pause self-service</w:t>
            </w:r>
          </w:p>
        </w:tc>
        <w:tc>
          <w:tcPr>
            <w:tcW w:type="dxa" w:w="1200"/>
            <w:shd w:fill="F5F5F5" w:val="clear"/>
            <w:tcMar>
              <w:top w:type="dxa" w:w="100"/>
              <w:left w:type="dxa" w:w="120"/>
              <w:bottom w:type="dxa" w:w="100"/>
              <w:right w:type="dxa" w:w="120"/>
            </w:tcMar>
          </w:tcPr>
          <w:p>
            <w:r>
              <w:rPr>
                <w:b w:val="false"/>
                <w:bCs w:val="false"/>
              </w:rPr>
              <w:t xml:space="preserve">Next</w:t>
            </w:r>
          </w:p>
        </w:tc>
        <w:tc>
          <w:tcPr>
            <w:tcW w:type="dxa" w:w="1400"/>
            <w:shd w:fill="F5F5F5" w:val="clear"/>
            <w:tcMar>
              <w:top w:type="dxa" w:w="100"/>
              <w:left w:type="dxa" w:w="120"/>
              <w:bottom w:type="dxa" w:w="100"/>
              <w:right w:type="dxa" w:w="120"/>
            </w:tcMar>
          </w:tcPr>
          <w:p>
            <w:r>
              <w:rPr>
                <w:b w:val="false"/>
                <w:bCs w:val="false"/>
              </w:rPr>
              <w:t xml:space="preserve">Phase 3</w:t>
            </w:r>
          </w:p>
        </w:tc>
        <w:tc>
          <w:tcPr>
            <w:tcW w:type="dxa" w:w="2800"/>
            <w:shd w:fill="F5F5F5" w:val="clear"/>
            <w:tcMar>
              <w:top w:type="dxa" w:w="100"/>
              <w:left w:type="dxa" w:w="120"/>
              <w:bottom w:type="dxa" w:w="100"/>
              <w:right w:type="dxa" w:w="120"/>
            </w:tcMar>
          </w:tcPr>
          <w:p>
            <w:r>
              <w:rPr>
                <w:b w:val="false"/>
                <w:bCs w:val="false"/>
              </w:rPr>
              <w:t xml:space="preserve">ButcherBox pattern; needs backend schema change</w:t>
            </w:r>
          </w:p>
        </w:tc>
      </w:tr>
      <w:tr>
        <w:tc>
          <w:tcPr>
            <w:tcW w:type="dxa" w:w="3400"/>
            <w:tcMar>
              <w:top w:type="dxa" w:w="100"/>
              <w:left w:type="dxa" w:w="120"/>
              <w:bottom w:type="dxa" w:w="100"/>
              <w:right w:type="dxa" w:w="120"/>
            </w:tcMar>
          </w:tcPr>
          <w:p>
            <w:r>
              <w:rPr>
                <w:b w:val="false"/>
                <w:bCs w:val="false"/>
              </w:rPr>
              <w:t xml:space="preserve">Loyalty points, referral program</w:t>
            </w:r>
          </w:p>
        </w:tc>
        <w:tc>
          <w:tcPr>
            <w:tcW w:type="dxa" w:w="1200"/>
            <w:tcMar>
              <w:top w:type="dxa" w:w="100"/>
              <w:left w:type="dxa" w:w="120"/>
              <w:bottom w:type="dxa" w:w="100"/>
              <w:right w:type="dxa" w:w="120"/>
            </w:tcMar>
          </w:tcPr>
          <w:p>
            <w:r>
              <w:rPr>
                <w:b w:val="false"/>
                <w:bCs w:val="false"/>
              </w:rPr>
              <w:t xml:space="preserve">Next</w:t>
            </w:r>
          </w:p>
        </w:tc>
        <w:tc>
          <w:tcPr>
            <w:tcW w:type="dxa" w:w="1400"/>
            <w:tcMar>
              <w:top w:type="dxa" w:w="100"/>
              <w:left w:type="dxa" w:w="120"/>
              <w:bottom w:type="dxa" w:w="100"/>
              <w:right w:type="dxa" w:w="120"/>
            </w:tcMar>
          </w:tcPr>
          <w:p>
            <w:r>
              <w:rPr>
                <w:b w:val="false"/>
                <w:bCs w:val="false"/>
              </w:rPr>
              <w:t xml:space="preserve">Phase 3</w:t>
            </w:r>
          </w:p>
        </w:tc>
        <w:tc>
          <w:tcPr>
            <w:tcW w:type="dxa" w:w="2800"/>
            <w:tcMar>
              <w:top w:type="dxa" w:w="100"/>
              <w:left w:type="dxa" w:w="120"/>
              <w:bottom w:type="dxa" w:w="100"/>
              <w:right w:type="dxa" w:w="120"/>
            </w:tcMar>
          </w:tcPr>
          <w:p>
            <w:r>
              <w:rPr>
                <w:b w:val="false"/>
                <w:bCs w:val="false"/>
              </w:rPr>
              <w:t xml:space="preserve">Needs new backend tables</w:t>
            </w:r>
          </w:p>
        </w:tc>
      </w:tr>
      <w:tr>
        <w:tc>
          <w:tcPr>
            <w:tcW w:type="dxa" w:w="3400"/>
            <w:shd w:fill="F5F5F5" w:val="clear"/>
            <w:tcMar>
              <w:top w:type="dxa" w:w="100"/>
              <w:left w:type="dxa" w:w="120"/>
              <w:bottom w:type="dxa" w:w="100"/>
              <w:right w:type="dxa" w:w="120"/>
            </w:tcMar>
          </w:tcPr>
          <w:p>
            <w:r>
              <w:rPr>
                <w:b w:val="false"/>
                <w:bCs w:val="false"/>
              </w:rPr>
              <w:t xml:space="preserve">B2B self-serve quoting + invoicing</w:t>
            </w:r>
          </w:p>
        </w:tc>
        <w:tc>
          <w:tcPr>
            <w:tcW w:type="dxa" w:w="1200"/>
            <w:shd w:fill="F5F5F5" w:val="clear"/>
            <w:tcMar>
              <w:top w:type="dxa" w:w="100"/>
              <w:left w:type="dxa" w:w="120"/>
              <w:bottom w:type="dxa" w:w="100"/>
              <w:right w:type="dxa" w:w="120"/>
            </w:tcMar>
          </w:tcPr>
          <w:p>
            <w:r>
              <w:rPr>
                <w:b w:val="false"/>
                <w:bCs w:val="false"/>
              </w:rPr>
              <w:t xml:space="preserve">Next</w:t>
            </w:r>
          </w:p>
        </w:tc>
        <w:tc>
          <w:tcPr>
            <w:tcW w:type="dxa" w:w="1400"/>
            <w:shd w:fill="F5F5F5" w:val="clear"/>
            <w:tcMar>
              <w:top w:type="dxa" w:w="100"/>
              <w:left w:type="dxa" w:w="120"/>
              <w:bottom w:type="dxa" w:w="100"/>
              <w:right w:type="dxa" w:w="120"/>
            </w:tcMar>
          </w:tcPr>
          <w:p>
            <w:r>
              <w:rPr>
                <w:b w:val="false"/>
                <w:bCs w:val="false"/>
              </w:rPr>
              <w:t xml:space="preserve">Phase 4</w:t>
            </w:r>
          </w:p>
        </w:tc>
        <w:tc>
          <w:tcPr>
            <w:tcW w:type="dxa" w:w="2800"/>
            <w:shd w:fill="F5F5F5" w:val="clear"/>
            <w:tcMar>
              <w:top w:type="dxa" w:w="100"/>
              <w:left w:type="dxa" w:w="120"/>
              <w:bottom w:type="dxa" w:w="100"/>
              <w:right w:type="dxa" w:w="120"/>
            </w:tcMar>
          </w:tcPr>
          <w:p>
            <w:r>
              <w:rPr>
                <w:b w:val="false"/>
                <w:bCs w:val="false"/>
              </w:rPr>
              <w:t xml:space="preserve">Needs auth roles + billing logic</w:t>
            </w:r>
          </w:p>
        </w:tc>
      </w:tr>
      <w:tr>
        <w:tc>
          <w:tcPr>
            <w:tcW w:type="dxa" w:w="3400"/>
            <w:tcMar>
              <w:top w:type="dxa" w:w="100"/>
              <w:left w:type="dxa" w:w="120"/>
              <w:bottom w:type="dxa" w:w="100"/>
              <w:right w:type="dxa" w:w="120"/>
            </w:tcMar>
          </w:tcPr>
          <w:p>
            <w:r>
              <w:rPr>
                <w:b w:val="false"/>
                <w:bCs w:val="false"/>
              </w:rPr>
              <w:t xml:space="preserve">Admin analytics/inventory/CRM dashboard</w:t>
            </w:r>
          </w:p>
        </w:tc>
        <w:tc>
          <w:tcPr>
            <w:tcW w:type="dxa" w:w="1200"/>
            <w:tcMar>
              <w:top w:type="dxa" w:w="100"/>
              <w:left w:type="dxa" w:w="120"/>
              <w:bottom w:type="dxa" w:w="100"/>
              <w:right w:type="dxa" w:w="120"/>
            </w:tcMar>
          </w:tcPr>
          <w:p>
            <w:r>
              <w:rPr>
                <w:b w:val="false"/>
                <w:bCs w:val="false"/>
              </w:rPr>
              <w:t xml:space="preserve">Later</w:t>
            </w:r>
          </w:p>
        </w:tc>
        <w:tc>
          <w:tcPr>
            <w:tcW w:type="dxa" w:w="1400"/>
            <w:tcMar>
              <w:top w:type="dxa" w:w="100"/>
              <w:left w:type="dxa" w:w="120"/>
              <w:bottom w:type="dxa" w:w="100"/>
              <w:right w:type="dxa" w:w="120"/>
            </w:tcMar>
          </w:tcPr>
          <w:p>
            <w:r>
              <w:rPr>
                <w:b w:val="false"/>
                <w:bCs w:val="false"/>
              </w:rPr>
              <w:t xml:space="preserve">Phase 4</w:t>
            </w:r>
          </w:p>
        </w:tc>
        <w:tc>
          <w:tcPr>
            <w:tcW w:type="dxa" w:w="2800"/>
            <w:tcMar>
              <w:top w:type="dxa" w:w="100"/>
              <w:left w:type="dxa" w:w="120"/>
              <w:bottom w:type="dxa" w:w="100"/>
              <w:right w:type="dxa" w:w="120"/>
            </w:tcMar>
          </w:tcPr>
          <w:p>
            <w:r>
              <w:rPr>
                <w:b w:val="false"/>
                <w:bCs w:val="false"/>
              </w:rPr>
              <w:t xml:space="preserve">Substantial standalone build</w:t>
            </w:r>
          </w:p>
        </w:tc>
      </w:tr>
      <w:tr>
        <w:tc>
          <w:tcPr>
            <w:tcW w:type="dxa" w:w="3400"/>
            <w:shd w:fill="F5F5F5" w:val="clear"/>
            <w:tcMar>
              <w:top w:type="dxa" w:w="100"/>
              <w:left w:type="dxa" w:w="120"/>
              <w:bottom w:type="dxa" w:w="100"/>
              <w:right w:type="dxa" w:w="120"/>
            </w:tcMar>
          </w:tcPr>
          <w:p>
            <w:r>
              <w:rPr>
                <w:b w:val="false"/>
                <w:bCs w:val="false"/>
              </w:rPr>
              <w:t xml:space="preserve">Vendor / warehouse / delivery portals</w:t>
            </w:r>
          </w:p>
        </w:tc>
        <w:tc>
          <w:tcPr>
            <w:tcW w:type="dxa" w:w="1200"/>
            <w:shd w:fill="F5F5F5" w:val="clear"/>
            <w:tcMar>
              <w:top w:type="dxa" w:w="100"/>
              <w:left w:type="dxa" w:w="120"/>
              <w:bottom w:type="dxa" w:w="100"/>
              <w:right w:type="dxa" w:w="120"/>
            </w:tcMar>
          </w:tcPr>
          <w:p>
            <w:r>
              <w:rPr>
                <w:b w:val="false"/>
                <w:bCs w:val="false"/>
              </w:rPr>
              <w:t xml:space="preserve">Later</w:t>
            </w:r>
          </w:p>
        </w:tc>
        <w:tc>
          <w:tcPr>
            <w:tcW w:type="dxa" w:w="1400"/>
            <w:shd w:fill="F5F5F5" w:val="clear"/>
            <w:tcMar>
              <w:top w:type="dxa" w:w="100"/>
              <w:left w:type="dxa" w:w="120"/>
              <w:bottom w:type="dxa" w:w="100"/>
              <w:right w:type="dxa" w:w="120"/>
            </w:tcMar>
          </w:tcPr>
          <w:p>
            <w:r>
              <w:rPr>
                <w:b w:val="false"/>
                <w:bCs w:val="false"/>
              </w:rPr>
              <w:t xml:space="preserve">Phase 4</w:t>
            </w:r>
          </w:p>
        </w:tc>
        <w:tc>
          <w:tcPr>
            <w:tcW w:type="dxa" w:w="2800"/>
            <w:shd w:fill="F5F5F5" w:val="clear"/>
            <w:tcMar>
              <w:top w:type="dxa" w:w="100"/>
              <w:left w:type="dxa" w:w="120"/>
              <w:bottom w:type="dxa" w:w="100"/>
              <w:right w:type="dxa" w:w="120"/>
            </w:tcMar>
          </w:tcPr>
          <w:p>
            <w:r>
              <w:rPr>
                <w:b w:val="false"/>
                <w:bCs w:val="false"/>
              </w:rPr>
              <w:t xml:space="preserve">Requires role-based multi-tenant auth</w:t>
            </w:r>
          </w:p>
        </w:tc>
      </w:tr>
      <w:tr>
        <w:tc>
          <w:tcPr>
            <w:tcW w:type="dxa" w:w="3400"/>
            <w:tcMar>
              <w:top w:type="dxa" w:w="100"/>
              <w:left w:type="dxa" w:w="120"/>
              <w:bottom w:type="dxa" w:w="100"/>
              <w:right w:type="dxa" w:w="120"/>
            </w:tcMar>
          </w:tcPr>
          <w:p>
            <w:r>
              <w:rPr>
                <w:b w:val="false"/>
                <w:bCs w:val="false"/>
              </w:rPr>
              <w:t xml:space="preserve">AI search, voice search, recommendation engine</w:t>
            </w:r>
          </w:p>
        </w:tc>
        <w:tc>
          <w:tcPr>
            <w:tcW w:type="dxa" w:w="1200"/>
            <w:tcMar>
              <w:top w:type="dxa" w:w="100"/>
              <w:left w:type="dxa" w:w="120"/>
              <w:bottom w:type="dxa" w:w="100"/>
              <w:right w:type="dxa" w:w="120"/>
            </w:tcMar>
          </w:tcPr>
          <w:p>
            <w:r>
              <w:rPr>
                <w:b w:val="false"/>
                <w:bCs w:val="false"/>
              </w:rPr>
              <w:t xml:space="preserve">Later</w:t>
            </w:r>
          </w:p>
        </w:tc>
        <w:tc>
          <w:tcPr>
            <w:tcW w:type="dxa" w:w="1400"/>
            <w:tcMar>
              <w:top w:type="dxa" w:w="100"/>
              <w:left w:type="dxa" w:w="120"/>
              <w:bottom w:type="dxa" w:w="100"/>
              <w:right w:type="dxa" w:w="120"/>
            </w:tcMar>
          </w:tcPr>
          <w:p>
            <w:r>
              <w:rPr>
                <w:b w:val="false"/>
                <w:bCs w:val="false"/>
              </w:rPr>
              <w:t xml:space="preserve">Phase 5</w:t>
            </w:r>
          </w:p>
        </w:tc>
        <w:tc>
          <w:tcPr>
            <w:tcW w:type="dxa" w:w="2800"/>
            <w:tcMar>
              <w:top w:type="dxa" w:w="100"/>
              <w:left w:type="dxa" w:w="120"/>
              <w:bottom w:type="dxa" w:w="100"/>
              <w:right w:type="dxa" w:w="120"/>
            </w:tcMar>
          </w:tcPr>
          <w:p>
            <w:r>
              <w:rPr>
                <w:b w:val="false"/>
                <w:bCs w:val="false"/>
              </w:rPr>
              <w:t xml:space="preserve">Requires a search/AI infra decision (see Section 9)</w:t>
            </w:r>
          </w:p>
        </w:tc>
      </w:tr>
      <w:tr>
        <w:tc>
          <w:tcPr>
            <w:tcW w:type="dxa" w:w="3400"/>
            <w:shd w:fill="F5F5F5" w:val="clear"/>
            <w:tcMar>
              <w:top w:type="dxa" w:w="100"/>
              <w:left w:type="dxa" w:w="120"/>
              <w:bottom w:type="dxa" w:w="100"/>
              <w:right w:type="dxa" w:w="120"/>
            </w:tcMar>
          </w:tcPr>
          <w:p>
            <w:r>
              <w:rPr>
                <w:b w:val="false"/>
                <w:bCs w:val="false"/>
              </w:rPr>
              <w:t xml:space="preserve">Native mobile apps</w:t>
            </w:r>
          </w:p>
        </w:tc>
        <w:tc>
          <w:tcPr>
            <w:tcW w:type="dxa" w:w="1200"/>
            <w:shd w:fill="F5F5F5" w:val="clear"/>
            <w:tcMar>
              <w:top w:type="dxa" w:w="100"/>
              <w:left w:type="dxa" w:w="120"/>
              <w:bottom w:type="dxa" w:w="100"/>
              <w:right w:type="dxa" w:w="120"/>
            </w:tcMar>
          </w:tcPr>
          <w:p>
            <w:r>
              <w:rPr>
                <w:b w:val="false"/>
                <w:bCs w:val="false"/>
              </w:rPr>
              <w:t xml:space="preserve">Future</w:t>
            </w:r>
          </w:p>
        </w:tc>
        <w:tc>
          <w:tcPr>
            <w:tcW w:type="dxa" w:w="1400"/>
            <w:shd w:fill="F5F5F5" w:val="clear"/>
            <w:tcMar>
              <w:top w:type="dxa" w:w="100"/>
              <w:left w:type="dxa" w:w="120"/>
              <w:bottom w:type="dxa" w:w="100"/>
              <w:right w:type="dxa" w:w="120"/>
            </w:tcMar>
          </w:tcPr>
          <w:p>
            <w:r>
              <w:rPr>
                <w:b w:val="false"/>
                <w:bCs w:val="false"/>
              </w:rPr>
              <w:t xml:space="preserve">Phase 5+</w:t>
            </w:r>
          </w:p>
        </w:tc>
        <w:tc>
          <w:tcPr>
            <w:tcW w:type="dxa" w:w="2800"/>
            <w:shd w:fill="F5F5F5" w:val="clear"/>
            <w:tcMar>
              <w:top w:type="dxa" w:w="100"/>
              <w:left w:type="dxa" w:w="120"/>
              <w:bottom w:type="dxa" w:w="100"/>
              <w:right w:type="dxa" w:w="120"/>
            </w:tcMar>
          </w:tcPr>
          <w:p>
            <w:r>
              <w:rPr>
                <w:b w:val="false"/>
                <w:bCs w:val="false"/>
              </w:rPr>
              <w:t xml:space="preserve">Separate iOS/Android engineering track</w:t>
            </w:r>
          </w:p>
        </w:tc>
      </w:tr>
    </w:tbl>
    <w:p>
      <w:pPr>
        <w:pStyle w:val="Heading1"/>
        <w:spacing w:after="200" w:before="400"/>
      </w:pPr>
      <w:r>
        <w:t xml:space="preserve">8. Design System Foundations</w:t>
      </w:r>
    </w:p>
    <w:p>
      <w:pPr>
        <w:pStyle w:val="Heading2"/>
        <w:spacing w:after="150" w:before="300"/>
      </w:pPr>
      <w:r>
        <w:t xml:space="preserve">8.1 Colour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000"/>
      </w:tblGrid>
      <w:tr>
        <w:trPr>
          <w:tblHeader/>
        </w:trPr>
        <w:tc>
          <w:tcPr>
            <w:tcW w:type="dxa" w:w="3200"/>
            <w:shd w:fill="08120B" w:val="clear"/>
            <w:tcMar>
              <w:top w:type="dxa" w:w="100"/>
              <w:left w:type="dxa" w:w="120"/>
              <w:bottom w:type="dxa" w:w="100"/>
              <w:right w:type="dxa" w:w="120"/>
            </w:tcMar>
          </w:tcPr>
          <w:p>
            <w:r>
              <w:rPr>
                <w:b/>
                <w:bCs/>
                <w:color w:val="FFFFFF"/>
              </w:rPr>
              <w:t xml:space="preserve">Token</w:t>
            </w:r>
          </w:p>
        </w:tc>
        <w:tc>
          <w:tcPr>
            <w:tcW w:type="dxa" w:w="1600"/>
            <w:shd w:fill="08120B" w:val="clear"/>
            <w:tcMar>
              <w:top w:type="dxa" w:w="100"/>
              <w:left w:type="dxa" w:w="120"/>
              <w:bottom w:type="dxa" w:w="100"/>
              <w:right w:type="dxa" w:w="120"/>
            </w:tcMar>
          </w:tcPr>
          <w:p>
            <w:r>
              <w:rPr>
                <w:b/>
                <w:bCs/>
                <w:color w:val="FFFFFF"/>
              </w:rPr>
              <w:t xml:space="preserve">Hex</w:t>
            </w:r>
          </w:p>
        </w:tc>
        <w:tc>
          <w:tcPr>
            <w:tcW w:type="dxa" w:w="4000"/>
            <w:shd w:fill="08120B" w:val="clear"/>
            <w:tcMar>
              <w:top w:type="dxa" w:w="100"/>
              <w:left w:type="dxa" w:w="120"/>
              <w:bottom w:type="dxa" w:w="100"/>
              <w:right w:type="dxa" w:w="120"/>
            </w:tcMar>
          </w:tcPr>
          <w:p>
            <w:r>
              <w:rPr>
                <w:b/>
                <w:bCs/>
                <w:color w:val="FFFFFF"/>
              </w:rPr>
              <w:t xml:space="preserve">Usage</w:t>
            </w:r>
          </w:p>
        </w:tc>
      </w:tr>
      <w:tr>
        <w:tc>
          <w:tcPr>
            <w:tcW w:type="dxa" w:w="3200"/>
            <w:tcMar>
              <w:top w:type="dxa" w:w="100"/>
              <w:left w:type="dxa" w:w="120"/>
              <w:bottom w:type="dxa" w:w="100"/>
              <w:right w:type="dxa" w:w="120"/>
            </w:tcMar>
          </w:tcPr>
          <w:p>
            <w:r>
              <w:rPr>
                <w:b w:val="false"/>
                <w:bCs w:val="false"/>
              </w:rPr>
              <w:t xml:space="preserve">Primary Green</w:t>
            </w:r>
          </w:p>
        </w:tc>
        <w:tc>
          <w:tcPr>
            <w:tcW w:type="dxa" w:w="1600"/>
            <w:tcMar>
              <w:top w:type="dxa" w:w="100"/>
              <w:left w:type="dxa" w:w="120"/>
              <w:bottom w:type="dxa" w:w="100"/>
              <w:right w:type="dxa" w:w="120"/>
            </w:tcMar>
          </w:tcPr>
          <w:p>
            <w:r>
              <w:rPr>
                <w:b w:val="false"/>
                <w:bCs w:val="false"/>
              </w:rPr>
              <w:t xml:space="preserve">#0F7B3A</w:t>
            </w:r>
          </w:p>
        </w:tc>
        <w:tc>
          <w:tcPr>
            <w:tcW w:type="dxa" w:w="4000"/>
            <w:tcMar>
              <w:top w:type="dxa" w:w="100"/>
              <w:left w:type="dxa" w:w="120"/>
              <w:bottom w:type="dxa" w:w="100"/>
              <w:right w:type="dxa" w:w="120"/>
            </w:tcMar>
          </w:tcPr>
          <w:p>
            <w:r>
              <w:rPr>
                <w:b w:val="false"/>
                <w:bCs w:val="false"/>
              </w:rPr>
              <w:t xml:space="preserve">Primary actions, freshness/trust signals — already in production use</w:t>
            </w:r>
          </w:p>
        </w:tc>
      </w:tr>
      <w:tr>
        <w:tc>
          <w:tcPr>
            <w:tcW w:type="dxa" w:w="3200"/>
            <w:shd w:fill="F5F5F5" w:val="clear"/>
            <w:tcMar>
              <w:top w:type="dxa" w:w="100"/>
              <w:left w:type="dxa" w:w="120"/>
              <w:bottom w:type="dxa" w:w="100"/>
              <w:right w:type="dxa" w:w="120"/>
            </w:tcMar>
          </w:tcPr>
          <w:p>
            <w:r>
              <w:rPr>
                <w:b w:val="false"/>
                <w:bCs w:val="false"/>
              </w:rPr>
              <w:t xml:space="preserve">Charcoal</w:t>
            </w:r>
          </w:p>
        </w:tc>
        <w:tc>
          <w:tcPr>
            <w:tcW w:type="dxa" w:w="1600"/>
            <w:shd w:fill="F5F5F5" w:val="clear"/>
            <w:tcMar>
              <w:top w:type="dxa" w:w="100"/>
              <w:left w:type="dxa" w:w="120"/>
              <w:bottom w:type="dxa" w:w="100"/>
              <w:right w:type="dxa" w:w="120"/>
            </w:tcMar>
          </w:tcPr>
          <w:p>
            <w:r>
              <w:rPr>
                <w:b w:val="false"/>
                <w:bCs w:val="false"/>
              </w:rPr>
              <w:t xml:space="preserve">#08120B</w:t>
            </w:r>
          </w:p>
        </w:tc>
        <w:tc>
          <w:tcPr>
            <w:tcW w:type="dxa" w:w="4000"/>
            <w:shd w:fill="F5F5F5" w:val="clear"/>
            <w:tcMar>
              <w:top w:type="dxa" w:w="100"/>
              <w:left w:type="dxa" w:w="120"/>
              <w:bottom w:type="dxa" w:w="100"/>
              <w:right w:type="dxa" w:w="120"/>
            </w:tcMar>
          </w:tcPr>
          <w:p>
            <w:r>
              <w:rPr>
                <w:b w:val="false"/>
                <w:bCs w:val="false"/>
              </w:rPr>
              <w:t xml:space="preserve">Primary text, dark surfaces, footer</w:t>
            </w:r>
          </w:p>
        </w:tc>
      </w:tr>
      <w:tr>
        <w:tc>
          <w:tcPr>
            <w:tcW w:type="dxa" w:w="3200"/>
            <w:tcMar>
              <w:top w:type="dxa" w:w="100"/>
              <w:left w:type="dxa" w:w="120"/>
              <w:bottom w:type="dxa" w:w="100"/>
              <w:right w:type="dxa" w:w="120"/>
            </w:tcMar>
          </w:tcPr>
          <w:p>
            <w:r>
              <w:rPr>
                <w:b w:val="false"/>
                <w:bCs w:val="false"/>
              </w:rPr>
              <w:t xml:space="preserve">Premium Gold (proposed)</w:t>
            </w:r>
          </w:p>
        </w:tc>
        <w:tc>
          <w:tcPr>
            <w:tcW w:type="dxa" w:w="1600"/>
            <w:tcMar>
              <w:top w:type="dxa" w:w="100"/>
              <w:left w:type="dxa" w:w="120"/>
              <w:bottom w:type="dxa" w:w="100"/>
              <w:right w:type="dxa" w:w="120"/>
            </w:tcMar>
          </w:tcPr>
          <w:p>
            <w:r>
              <w:rPr>
                <w:b w:val="false"/>
                <w:bCs w:val="false"/>
              </w:rPr>
              <w:t xml:space="preserve">#A87C1F</w:t>
            </w:r>
          </w:p>
        </w:tc>
        <w:tc>
          <w:tcPr>
            <w:tcW w:type="dxa" w:w="4000"/>
            <w:tcMar>
              <w:top w:type="dxa" w:w="100"/>
              <w:left w:type="dxa" w:w="120"/>
              <w:bottom w:type="dxa" w:w="100"/>
              <w:right w:type="dxa" w:w="120"/>
            </w:tcMar>
          </w:tcPr>
          <w:p>
            <w:r>
              <w:rPr>
                <w:b w:val="false"/>
                <w:bCs w:val="false"/>
              </w:rPr>
              <w:t xml:space="preserve">Membership, subscriptions, premium-cut badges only</w:t>
            </w:r>
          </w:p>
        </w:tc>
      </w:tr>
      <w:tr>
        <w:tc>
          <w:tcPr>
            <w:tcW w:type="dxa" w:w="3200"/>
            <w:shd w:fill="F5F5F5" w:val="clear"/>
            <w:tcMar>
              <w:top w:type="dxa" w:w="100"/>
              <w:left w:type="dxa" w:w="120"/>
              <w:bottom w:type="dxa" w:w="100"/>
              <w:right w:type="dxa" w:w="120"/>
            </w:tcMar>
          </w:tcPr>
          <w:p>
            <w:r>
              <w:rPr>
                <w:b w:val="false"/>
                <w:bCs w:val="false"/>
              </w:rPr>
              <w:t xml:space="preserve">Deep Red (proposed, sparing use)</w:t>
            </w:r>
          </w:p>
        </w:tc>
        <w:tc>
          <w:tcPr>
            <w:tcW w:type="dxa" w:w="1600"/>
            <w:shd w:fill="F5F5F5" w:val="clear"/>
            <w:tcMar>
              <w:top w:type="dxa" w:w="100"/>
              <w:left w:type="dxa" w:w="120"/>
              <w:bottom w:type="dxa" w:w="100"/>
              <w:right w:type="dxa" w:w="120"/>
            </w:tcMar>
          </w:tcPr>
          <w:p>
            <w:r>
              <w:rPr>
                <w:b w:val="false"/>
                <w:bCs w:val="false"/>
              </w:rPr>
              <w:t xml:space="preserve">#8C1F28</w:t>
            </w:r>
          </w:p>
        </w:tc>
        <w:tc>
          <w:tcPr>
            <w:tcW w:type="dxa" w:w="4000"/>
            <w:shd w:fill="F5F5F5" w:val="clear"/>
            <w:tcMar>
              <w:top w:type="dxa" w:w="100"/>
              <w:left w:type="dxa" w:w="120"/>
              <w:bottom w:type="dxa" w:w="100"/>
              <w:right w:type="dxa" w:w="120"/>
            </w:tcMar>
          </w:tcPr>
          <w:p>
            <w:r>
              <w:rPr>
                <w:b w:val="false"/>
                <w:bCs w:val="false"/>
              </w:rPr>
              <w:t xml:space="preserve">Flash-sale / limited-time accents only — not a primary colour</w:t>
            </w:r>
          </w:p>
        </w:tc>
      </w:tr>
      <w:tr>
        <w:tc>
          <w:tcPr>
            <w:tcW w:type="dxa" w:w="3200"/>
            <w:tcMar>
              <w:top w:type="dxa" w:w="100"/>
              <w:left w:type="dxa" w:w="120"/>
              <w:bottom w:type="dxa" w:w="100"/>
              <w:right w:type="dxa" w:w="120"/>
            </w:tcMar>
          </w:tcPr>
          <w:p>
            <w:r>
              <w:rPr>
                <w:b w:val="false"/>
                <w:bCs w:val="false"/>
              </w:rPr>
              <w:t xml:space="preserve">Neutral White / Grey scale</w:t>
            </w:r>
          </w:p>
        </w:tc>
        <w:tc>
          <w:tcPr>
            <w:tcW w:type="dxa" w:w="1600"/>
            <w:tcMar>
              <w:top w:type="dxa" w:w="100"/>
              <w:left w:type="dxa" w:w="120"/>
              <w:bottom w:type="dxa" w:w="100"/>
              <w:right w:type="dxa" w:w="120"/>
            </w:tcMar>
          </w:tcPr>
          <w:p>
            <w:r>
              <w:rPr>
                <w:b w:val="false"/>
                <w:bCs w:val="false"/>
              </w:rPr>
              <w:t xml:space="preserve">#FFFFFF – #6B7280</w:t>
            </w:r>
          </w:p>
        </w:tc>
        <w:tc>
          <w:tcPr>
            <w:tcW w:type="dxa" w:w="4000"/>
            <w:tcMar>
              <w:top w:type="dxa" w:w="100"/>
              <w:left w:type="dxa" w:w="120"/>
              <w:bottom w:type="dxa" w:w="100"/>
              <w:right w:type="dxa" w:w="120"/>
            </w:tcMar>
          </w:tcPr>
          <w:p>
            <w:r>
              <w:rPr>
                <w:b w:val="false"/>
                <w:bCs w:val="false"/>
              </w:rPr>
              <w:t xml:space="preserve">Backgrounds, secondary text, borders</w:t>
            </w:r>
          </w:p>
        </w:tc>
      </w:tr>
    </w:tbl>
    <w:p>
      <w:pPr>
        <w:pStyle w:val="Heading2"/>
        <w:spacing w:after="150" w:before="300"/>
      </w:pPr>
      <w:r>
        <w:t xml:space="preserve">8.2 Typography, Spacing &amp; Components</w:t>
      </w:r>
    </w:p>
    <w:p>
      <w:pPr>
        <w:spacing w:after="150"/>
      </w:pPr>
      <w:r>
        <w:t xml:space="preserve">The live app already uses a consistent rounded-card, soft-shadow system with an 8px spacing scale (Tailwind defaults) and a bold, condensed display type for headings. Phase 2 should formalise this into a documented token set (type ramp, spacing scale, elevation levels, motion durations) rather than inventing a new visual language — the current system already reads as clean and premium; it needs documentation and consistency enforcement, not replacement.</w:t>
      </w:r>
    </w:p>
    <w:p>
      <w:pPr>
        <w:pStyle w:val="Heading2"/>
        <w:spacing w:after="150" w:before="300"/>
      </w:pPr>
      <w:r>
        <w:t xml:space="preserve">8.3 Accessibility &amp; Motion</w:t>
      </w:r>
    </w:p>
    <w:p>
      <w:pPr>
        <w:pStyle w:val="ListParagraph"/>
        <w:numPr>
          <w:ilvl w:val="0"/>
          <w:numId w:val="2"/>
        </w:numPr>
        <w:spacing w:after="80"/>
      </w:pPr>
      <w:r>
        <w:t xml:space="preserve">WCAG 2.2 AA colour contrast audit on the green/charcoal/white system (green-on-white and white-on-green pairs need explicit contrast verification).</w:t>
      </w:r>
    </w:p>
    <w:p>
      <w:pPr>
        <w:pStyle w:val="ListParagraph"/>
        <w:numPr>
          <w:ilvl w:val="0"/>
          <w:numId w:val="2"/>
        </w:numPr>
        <w:spacing w:after="80"/>
      </w:pPr>
      <w:r>
        <w:t xml:space="preserve">Reduced-motion support for all Framer-Motion-style animations introduced in Phase 2+.</w:t>
      </w:r>
    </w:p>
    <w:p>
      <w:pPr>
        <w:pStyle w:val="ListParagraph"/>
        <w:numPr>
          <w:ilvl w:val="0"/>
          <w:numId w:val="2"/>
        </w:numPr>
        <w:spacing w:after="80"/>
      </w:pPr>
      <w:r>
        <w:t xml:space="preserve">Keyboard navigation and screen-reader labelling audit before any Phase 2 design-system rollout ships.</w:t>
      </w:r>
    </w:p>
    <w:p>
      <w:pPr>
        <w:pStyle w:val="Heading1"/>
        <w:spacing w:after="200" w:before="400"/>
      </w:pPr>
      <w:r>
        <w:t xml:space="preserve">9. Technical Architecture — Two Honest Paths</w:t>
      </w:r>
    </w:p>
    <w:p>
      <w:pPr>
        <w:spacing w:after="150"/>
      </w:pPr>
      <w:r>
        <w:t xml:space="preserve">The brief asks for Next.js, Supabase/PostgreSQL, Redis, Elasticsearch, Stripe/Razorpay, and a constellation of portals. The current app already uses React 19 + TypeScript + Vite + Express + Supabase (partially wired for orders/auth). Two paths exist, and they should not be conflated:</w:t>
      </w:r>
    </w:p>
    <w:p>
      <w:pPr>
        <w:pStyle w:val="Heading2"/>
        <w:spacing w:after="150" w:before="300"/>
      </w:pPr>
      <w:r>
        <w:t xml:space="preserve">Path A — Evolve the current stack</w:t>
      </w:r>
    </w:p>
    <w:p>
      <w:pPr>
        <w:pStyle w:val="ListParagraph"/>
        <w:numPr>
          <w:ilvl w:val="0"/>
          <w:numId w:val="2"/>
        </w:numPr>
        <w:spacing w:after="80"/>
      </w:pPr>
      <w:r>
        <w:t xml:space="preserve">Keep Vite + React + Express; deepen Supabase usage (it is already partially integrated for orders and auth).</w:t>
      </w:r>
    </w:p>
    <w:p>
      <w:pPr>
        <w:pStyle w:val="ListParagraph"/>
        <w:numPr>
          <w:ilvl w:val="0"/>
          <w:numId w:val="2"/>
        </w:numPr>
        <w:spacing w:after="80"/>
      </w:pPr>
      <w:r>
        <w:t xml:space="preserve">Add search relevance via Postgres full-text search before reaching for Elasticsearch.</w:t>
      </w:r>
    </w:p>
    <w:p>
      <w:pPr>
        <w:pStyle w:val="ListParagraph"/>
        <w:numPr>
          <w:ilvl w:val="0"/>
          <w:numId w:val="2"/>
        </w:numPr>
        <w:spacing w:after="80"/>
      </w:pPr>
      <w:r>
        <w:t xml:space="preserve">Lowest risk, fastest time-to-value — every feature above builds on a verified-working foundation.</w:t>
      </w:r>
    </w:p>
    <w:p>
      <w:pPr>
        <w:pStyle w:val="Heading2"/>
        <w:spacing w:after="150" w:before="300"/>
      </w:pPr>
      <w:r>
        <w:t xml:space="preserve">Path B — Rebuild on Next.js App Router</w:t>
      </w:r>
    </w:p>
    <w:p>
      <w:pPr>
        <w:pStyle w:val="ListParagraph"/>
        <w:numPr>
          <w:ilvl w:val="0"/>
          <w:numId w:val="2"/>
        </w:numPr>
        <w:spacing w:after="80"/>
      </w:pPr>
      <w:r>
        <w:t xml:space="preserve">Gains: server components, built-in image optimisation, easier SEO metadata API, a more conventional hiring pool.</w:t>
      </w:r>
    </w:p>
    <w:p>
      <w:pPr>
        <w:pStyle w:val="ListParagraph"/>
        <w:numPr>
          <w:ilvl w:val="0"/>
          <w:numId w:val="2"/>
        </w:numPr>
        <w:spacing w:after="80"/>
      </w:pPr>
      <w:r>
        <w:t xml:space="preserve">Cost: the entire routing, data-fetching and auth layer is rewritten from scratch; every page rebuilt and re-tested; the currently-verified working order flow is temporarily lost until parity is reached.</w:t>
      </w:r>
    </w:p>
    <w:p>
      <w:pPr>
        <w:pStyle w:val="ListParagraph"/>
        <w:numPr>
          <w:ilvl w:val="0"/>
          <w:numId w:val="2"/>
        </w:numPr>
        <w:spacing w:after="80"/>
      </w:pPr>
      <w:r>
        <w:t xml:space="preserve">This is the right call only if there is a committed multi-week engineering runway — not something to start opportunistically inside a feature-request session.</w:t>
      </w:r>
    </w:p>
    <w:p>
      <w:pPr>
        <w:pStyle w:val="Heading2"/>
        <w:spacing w:after="150" w:before="300"/>
      </w:pPr>
      <w:r>
        <w:t xml:space="preserve">Recommendation</w:t>
      </w:r>
    </w:p>
    <w:p>
      <w:pPr>
        <w:spacing w:after="150"/>
      </w:pPr>
      <w:r>
        <w:rPr>
          <w:b/>
          <w:bCs/>
        </w:rPr>
        <w:t xml:space="preserve">Path A for Phases 2-3 (design system, traceability, subscriptions, loyalty) while Path B is scoped separately as its own project with its own timeline, budget and QA plan, once the business is ready to commit to it. This avoids the single biggest real risk in this brief: a half-finished rewrite that leaves the business with neither a polished current site nor a working new one.</w:t>
      </w:r>
    </w:p>
    <w:p>
      <w:pPr>
        <w:pStyle w:val="Heading1"/>
        <w:spacing w:after="200" w:before="400"/>
      </w:pPr>
      <w:r>
        <w:t xml:space="preserve">10. Content, SEO &amp; Conversion Strategy</w:t>
      </w:r>
    </w:p>
    <w:p>
      <w:pPr>
        <w:pStyle w:val="Heading2"/>
        <w:spacing w:after="150" w:before="300"/>
      </w:pPr>
      <w:r>
        <w:t xml:space="preserve">10.1 SEO</w:t>
      </w:r>
    </w:p>
    <w:p>
      <w:pPr>
        <w:pStyle w:val="ListParagraph"/>
        <w:numPr>
          <w:ilvl w:val="0"/>
          <w:numId w:val="2"/>
        </w:numPr>
        <w:spacing w:after="80"/>
      </w:pPr>
      <w:r>
        <w:t xml:space="preserve">Schema.org Product, Organization, FAQPage and BreadcrumbList markup across catalogue and content pages.</w:t>
      </w:r>
    </w:p>
    <w:p>
      <w:pPr>
        <w:pStyle w:val="ListParagraph"/>
        <w:numPr>
          <w:ilvl w:val="0"/>
          <w:numId w:val="2"/>
        </w:numPr>
        <w:spacing w:after="80"/>
      </w:pPr>
      <w:r>
        <w:t xml:space="preserve">City/locality landing pages tied to real delivery coverage (no fabricated coverage claims).</w:t>
      </w:r>
    </w:p>
    <w:p>
      <w:pPr>
        <w:pStyle w:val="ListParagraph"/>
        <w:numPr>
          <w:ilvl w:val="0"/>
          <w:numId w:val="2"/>
        </w:numPr>
        <w:spacing w:after="80"/>
      </w:pPr>
      <w:r>
        <w:t xml:space="preserve">AEO-formatted FAQ content (already started on the homepage) extended to every category and product page.</w:t>
      </w:r>
    </w:p>
    <w:p>
      <w:pPr>
        <w:pStyle w:val="Heading2"/>
        <w:spacing w:after="150" w:before="300"/>
      </w:pPr>
      <w:r>
        <w:t xml:space="preserve">10.2 CRO</w:t>
      </w:r>
    </w:p>
    <w:p>
      <w:pPr>
        <w:pStyle w:val="ListParagraph"/>
        <w:numPr>
          <w:ilvl w:val="0"/>
          <w:numId w:val="2"/>
        </w:numPr>
        <w:spacing w:after="80"/>
      </w:pPr>
      <w:r>
        <w:t xml:space="preserve">Preserve the already-verified low-friction checkout (4 steps, address/slot/coupon/payment) — do not add steps in the name of "enterprise."</w:t>
      </w:r>
    </w:p>
    <w:p>
      <w:pPr>
        <w:pStyle w:val="ListParagraph"/>
        <w:numPr>
          <w:ilvl w:val="0"/>
          <w:numId w:val="2"/>
        </w:numPr>
        <w:spacing w:after="80"/>
      </w:pPr>
      <w:r>
        <w:t xml:space="preserve">Add urgency/scarcity only where genuinely true (live stock counts), never fabricated countdown timers — matches the no-fabrication standard already used for the Today's Deals countdown.</w:t>
      </w:r>
    </w:p>
    <w:p>
      <w:pPr>
        <w:pStyle w:val="ListParagraph"/>
        <w:numPr>
          <w:ilvl w:val="0"/>
          <w:numId w:val="2"/>
        </w:numPr>
        <w:spacing w:after="80"/>
      </w:pPr>
      <w:r>
        <w:t xml:space="preserve">Subscription and membership upsells surfaced at cart, not just homepage, once Phase 3 cadence controls ship.</w:t>
      </w:r>
    </w:p>
    <w:p>
      <w:pPr>
        <w:pStyle w:val="Heading1"/>
        <w:spacing w:after="200" w:before="400"/>
      </w:pPr>
      <w:r>
        <w:t xml:space="preserve">11. Phased Implementation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rPr>
          <w:tblHeader/>
        </w:trPr>
        <w:tc>
          <w:tcPr>
            <w:tcW w:type="dxa" w:w="2600"/>
            <w:shd w:fill="08120B" w:val="clear"/>
            <w:tcMar>
              <w:top w:type="dxa" w:w="100"/>
              <w:left w:type="dxa" w:w="120"/>
              <w:bottom w:type="dxa" w:w="100"/>
              <w:right w:type="dxa" w:w="120"/>
            </w:tcMar>
          </w:tcPr>
          <w:p>
            <w:r>
              <w:rPr>
                <w:b/>
                <w:bCs/>
                <w:color w:val="FFFFFF"/>
              </w:rPr>
              <w:t xml:space="preserve">Phase</w:t>
            </w:r>
          </w:p>
        </w:tc>
        <w:tc>
          <w:tcPr>
            <w:tcW w:type="dxa" w:w="4800"/>
            <w:shd w:fill="08120B" w:val="clear"/>
            <w:tcMar>
              <w:top w:type="dxa" w:w="100"/>
              <w:left w:type="dxa" w:w="120"/>
              <w:bottom w:type="dxa" w:w="100"/>
              <w:right w:type="dxa" w:w="120"/>
            </w:tcMar>
          </w:tcPr>
          <w:p>
            <w:r>
              <w:rPr>
                <w:b/>
                <w:bCs/>
                <w:color w:val="FFFFFF"/>
              </w:rPr>
              <w:t xml:space="preserve">Scope</w:t>
            </w:r>
          </w:p>
        </w:tc>
        <w:tc>
          <w:tcPr>
            <w:tcW w:type="dxa" w:w="1600"/>
            <w:shd w:fill="08120B" w:val="clear"/>
            <w:tcMar>
              <w:top w:type="dxa" w:w="100"/>
              <w:left w:type="dxa" w:w="120"/>
              <w:bottom w:type="dxa" w:w="100"/>
              <w:right w:type="dxa" w:w="120"/>
            </w:tcMar>
          </w:tcPr>
          <w:p>
            <w:r>
              <w:rPr>
                <w:b/>
                <w:bCs/>
                <w:color w:val="FFFFFF"/>
              </w:rPr>
              <w:t xml:space="preserve">Rough duration</w:t>
            </w:r>
          </w:p>
        </w:tc>
      </w:tr>
      <w:tr>
        <w:tc>
          <w:tcPr>
            <w:tcW w:type="dxa" w:w="2600"/>
            <w:tcMar>
              <w:top w:type="dxa" w:w="100"/>
              <w:left w:type="dxa" w:w="120"/>
              <w:bottom w:type="dxa" w:w="100"/>
              <w:right w:type="dxa" w:w="120"/>
            </w:tcMar>
          </w:tcPr>
          <w:p>
            <w:r>
              <w:rPr>
                <w:b w:val="false"/>
                <w:bCs w:val="false"/>
              </w:rPr>
              <w:t xml:space="preserve">Phase 1 — Foundation (complete)</w:t>
            </w:r>
          </w:p>
        </w:tc>
        <w:tc>
          <w:tcPr>
            <w:tcW w:type="dxa" w:w="4800"/>
            <w:tcMar>
              <w:top w:type="dxa" w:w="100"/>
              <w:left w:type="dxa" w:w="120"/>
              <w:bottom w:type="dxa" w:w="100"/>
              <w:right w:type="dxa" w:w="120"/>
            </w:tcMar>
          </w:tcPr>
          <w:p>
            <w:r>
              <w:rPr>
                <w:b w:val="false"/>
                <w:bCs w:val="false"/>
              </w:rPr>
              <w:t xml:space="preserve">Working commerce app: auth, catalogue, cart, 4-step checkout, order tracking, 17-section homepage, subscriptions, combos, gifting, wishlist.</w:t>
            </w:r>
          </w:p>
        </w:tc>
        <w:tc>
          <w:tcPr>
            <w:tcW w:type="dxa" w:w="1600"/>
            <w:tcMar>
              <w:top w:type="dxa" w:w="100"/>
              <w:left w:type="dxa" w:w="120"/>
              <w:bottom w:type="dxa" w:w="100"/>
              <w:right w:type="dxa" w:w="120"/>
            </w:tcMar>
          </w:tcPr>
          <w:p>
            <w:r>
              <w:rPr>
                <w:b w:val="false"/>
                <w:bCs w:val="false"/>
              </w:rPr>
              <w:t xml:space="preserve">Done</w:t>
            </w:r>
          </w:p>
        </w:tc>
      </w:tr>
      <w:tr>
        <w:tc>
          <w:tcPr>
            <w:tcW w:type="dxa" w:w="2600"/>
            <w:shd w:fill="F5F5F5" w:val="clear"/>
            <w:tcMar>
              <w:top w:type="dxa" w:w="100"/>
              <w:left w:type="dxa" w:w="120"/>
              <w:bottom w:type="dxa" w:w="100"/>
              <w:right w:type="dxa" w:w="120"/>
            </w:tcMar>
          </w:tcPr>
          <w:p>
            <w:r>
              <w:rPr>
                <w:b w:val="false"/>
                <w:bCs w:val="false"/>
              </w:rPr>
              <w:t xml:space="preserve">Phase 2 — Premium Design System &amp; Traceability</w:t>
            </w:r>
          </w:p>
        </w:tc>
        <w:tc>
          <w:tcPr>
            <w:tcW w:type="dxa" w:w="4800"/>
            <w:shd w:fill="F5F5F5" w:val="clear"/>
            <w:tcMar>
              <w:top w:type="dxa" w:w="100"/>
              <w:left w:type="dxa" w:w="120"/>
              <w:bottom w:type="dxa" w:w="100"/>
              <w:right w:type="dxa" w:w="120"/>
            </w:tcMar>
          </w:tcPr>
          <w:p>
            <w:r>
              <w:rPr>
                <w:b w:val="false"/>
                <w:bCs w:val="false"/>
              </w:rPr>
              <w:t xml:space="preserve">Documented design tokens; per-product farm/fishery story pages; product compare &amp; recently-viewed; membership tier page; accessibility audit.</w:t>
            </w:r>
          </w:p>
        </w:tc>
        <w:tc>
          <w:tcPr>
            <w:tcW w:type="dxa" w:w="1600"/>
            <w:shd w:fill="F5F5F5" w:val="clear"/>
            <w:tcMar>
              <w:top w:type="dxa" w:w="100"/>
              <w:left w:type="dxa" w:w="120"/>
              <w:bottom w:type="dxa" w:w="100"/>
              <w:right w:type="dxa" w:w="120"/>
            </w:tcMar>
          </w:tcPr>
          <w:p>
            <w:r>
              <w:rPr>
                <w:b w:val="false"/>
                <w:bCs w:val="false"/>
              </w:rPr>
              <w:t xml:space="preserve">3-5 weeks</w:t>
            </w:r>
          </w:p>
        </w:tc>
      </w:tr>
      <w:tr>
        <w:tc>
          <w:tcPr>
            <w:tcW w:type="dxa" w:w="2600"/>
            <w:tcMar>
              <w:top w:type="dxa" w:w="100"/>
              <w:left w:type="dxa" w:w="120"/>
              <w:bottom w:type="dxa" w:w="100"/>
              <w:right w:type="dxa" w:w="120"/>
            </w:tcMar>
          </w:tcPr>
          <w:p>
            <w:r>
              <w:rPr>
                <w:b w:val="false"/>
                <w:bCs w:val="false"/>
              </w:rPr>
              <w:t xml:space="preserve">Phase 3 — Commerce Depth</w:t>
            </w:r>
          </w:p>
        </w:tc>
        <w:tc>
          <w:tcPr>
            <w:tcW w:type="dxa" w:w="4800"/>
            <w:tcMar>
              <w:top w:type="dxa" w:w="100"/>
              <w:left w:type="dxa" w:w="120"/>
              <w:bottom w:type="dxa" w:w="100"/>
              <w:right w:type="dxa" w:w="120"/>
            </w:tcMar>
          </w:tcPr>
          <w:p>
            <w:r>
              <w:rPr>
                <w:b w:val="false"/>
                <w:bCs w:val="false"/>
              </w:rPr>
              <w:t xml:space="preserve">Subscription cadence + skip/pause; loyalty points &amp; referrals; guest checkout; saved payment methods; enhanced reviews (photo/video).</w:t>
            </w:r>
          </w:p>
        </w:tc>
        <w:tc>
          <w:tcPr>
            <w:tcW w:type="dxa" w:w="1600"/>
            <w:tcMar>
              <w:top w:type="dxa" w:w="100"/>
              <w:left w:type="dxa" w:w="120"/>
              <w:bottom w:type="dxa" w:w="100"/>
              <w:right w:type="dxa" w:w="120"/>
            </w:tcMar>
          </w:tcPr>
          <w:p>
            <w:r>
              <w:rPr>
                <w:b w:val="false"/>
                <w:bCs w:val="false"/>
              </w:rPr>
              <w:t xml:space="preserve">4-6 weeks</w:t>
            </w:r>
          </w:p>
        </w:tc>
      </w:tr>
      <w:tr>
        <w:tc>
          <w:tcPr>
            <w:tcW w:type="dxa" w:w="2600"/>
            <w:shd w:fill="F5F5F5" w:val="clear"/>
            <w:tcMar>
              <w:top w:type="dxa" w:w="100"/>
              <w:left w:type="dxa" w:w="120"/>
              <w:bottom w:type="dxa" w:w="100"/>
              <w:right w:type="dxa" w:w="120"/>
            </w:tcMar>
          </w:tcPr>
          <w:p>
            <w:r>
              <w:rPr>
                <w:b w:val="false"/>
                <w:bCs w:val="false"/>
              </w:rPr>
              <w:t xml:space="preserve">Phase 4 — Enterprise Portals</w:t>
            </w:r>
          </w:p>
        </w:tc>
        <w:tc>
          <w:tcPr>
            <w:tcW w:type="dxa" w:w="4800"/>
            <w:shd w:fill="F5F5F5" w:val="clear"/>
            <w:tcMar>
              <w:top w:type="dxa" w:w="100"/>
              <w:left w:type="dxa" w:w="120"/>
              <w:bottom w:type="dxa" w:w="100"/>
              <w:right w:type="dxa" w:w="120"/>
            </w:tcMar>
          </w:tcPr>
          <w:p>
            <w:r>
              <w:rPr>
                <w:b w:val="false"/>
                <w:bCs w:val="false"/>
              </w:rPr>
              <w:t xml:space="preserve">Admin dashboard (inventory/orders/customers/reports); B2B self-serve quoting &amp; invoicing; franchise application workflow; role-based auth.</w:t>
            </w:r>
          </w:p>
        </w:tc>
        <w:tc>
          <w:tcPr>
            <w:tcW w:type="dxa" w:w="1600"/>
            <w:shd w:fill="F5F5F5" w:val="clear"/>
            <w:tcMar>
              <w:top w:type="dxa" w:w="100"/>
              <w:left w:type="dxa" w:w="120"/>
              <w:bottom w:type="dxa" w:w="100"/>
              <w:right w:type="dxa" w:w="120"/>
            </w:tcMar>
          </w:tcPr>
          <w:p>
            <w:r>
              <w:rPr>
                <w:b w:val="false"/>
                <w:bCs w:val="false"/>
              </w:rPr>
              <w:t xml:space="preserve">8-12 weeks</w:t>
            </w:r>
          </w:p>
        </w:tc>
      </w:tr>
      <w:tr>
        <w:tc>
          <w:tcPr>
            <w:tcW w:type="dxa" w:w="2600"/>
            <w:tcMar>
              <w:top w:type="dxa" w:w="100"/>
              <w:left w:type="dxa" w:w="120"/>
              <w:bottom w:type="dxa" w:w="100"/>
              <w:right w:type="dxa" w:w="120"/>
            </w:tcMar>
          </w:tcPr>
          <w:p>
            <w:r>
              <w:rPr>
                <w:b w:val="false"/>
                <w:bCs w:val="false"/>
              </w:rPr>
              <w:t xml:space="preserve">Phase 5 — AI &amp; Platform Expansion</w:t>
            </w:r>
          </w:p>
        </w:tc>
        <w:tc>
          <w:tcPr>
            <w:tcW w:type="dxa" w:w="4800"/>
            <w:tcMar>
              <w:top w:type="dxa" w:w="100"/>
              <w:left w:type="dxa" w:w="120"/>
              <w:bottom w:type="dxa" w:w="100"/>
              <w:right w:type="dxa" w:w="120"/>
            </w:tcMar>
          </w:tcPr>
          <w:p>
            <w:r>
              <w:rPr>
                <w:b w:val="false"/>
                <w:bCs w:val="false"/>
              </w:rPr>
              <w:t xml:space="preserve">AI/voice search, personalised homepage, native mobile apps, vendor/warehouse/delivery portals, ERP/CRM integration.</w:t>
            </w:r>
          </w:p>
        </w:tc>
        <w:tc>
          <w:tcPr>
            <w:tcW w:type="dxa" w:w="1600"/>
            <w:tcMar>
              <w:top w:type="dxa" w:w="100"/>
              <w:left w:type="dxa" w:w="120"/>
              <w:bottom w:type="dxa" w:w="100"/>
              <w:right w:type="dxa" w:w="120"/>
            </w:tcMar>
          </w:tcPr>
          <w:p>
            <w:r>
              <w:rPr>
                <w:b w:val="false"/>
                <w:bCs w:val="false"/>
              </w:rPr>
              <w:t xml:space="preserve">3+ months, scoped separately</w:t>
            </w:r>
          </w:p>
        </w:tc>
      </w:tr>
    </w:tbl>
    <w:p>
      <w:pPr>
        <w:spacing w:after="150"/>
      </w:pPr>
      <w:r>
        <w:t xml:space="preserve">Durations are directional estimates for a small focused team, not commitments — they exist to make the scale of the remaining brief legible, since the original request bundles a multi-quarter programme into what reads as a single deliverable.</w:t>
      </w:r>
    </w:p>
    <w:p>
      <w:pPr>
        <w:pStyle w:val="Heading1"/>
        <w:spacing w:after="200" w:before="400"/>
      </w:pPr>
      <w:r>
        <w:t xml:space="preserve">12. Immediate Next Steps</w:t>
      </w:r>
    </w:p>
    <w:p>
      <w:pPr>
        <w:pStyle w:val="ListParagraph"/>
        <w:numPr>
          <w:ilvl w:val="0"/>
          <w:numId w:val="2"/>
        </w:numPr>
        <w:spacing w:after="80"/>
      </w:pPr>
      <w:r>
        <w:t xml:space="preserve">Confirm the colour-system decision in Section 2.3 (green-primary + gold accent vs. a deep-red-forward system).</w:t>
      </w:r>
    </w:p>
    <w:p>
      <w:pPr>
        <w:pStyle w:val="ListParagraph"/>
        <w:numPr>
          <w:ilvl w:val="0"/>
          <w:numId w:val="2"/>
        </w:numPr>
        <w:spacing w:after="80"/>
      </w:pPr>
      <w:r>
        <w:t xml:space="preserve">Approve Phase 2 scope (design system + traceability pages) as the next concrete build sprint on the current, working stack.</w:t>
      </w:r>
    </w:p>
    <w:p>
      <w:pPr>
        <w:pStyle w:val="ListParagraph"/>
        <w:numPr>
          <w:ilvl w:val="0"/>
          <w:numId w:val="2"/>
        </w:numPr>
        <w:spacing w:after="80"/>
      </w:pPr>
      <w:r>
        <w:t xml:space="preserve">Decide whether Path B (Next.js rebuild) should be scoped as a separate, dedicated project — and if so, when.</w:t>
      </w:r>
    </w:p>
    <w:p>
      <w:pPr>
        <w:pStyle w:val="ListParagraph"/>
        <w:numPr>
          <w:ilvl w:val="0"/>
          <w:numId w:val="2"/>
        </w:numPr>
        <w:spacing w:after="80"/>
      </w:pPr>
      <w:r>
        <w:t xml:space="preserve">Nominate which single Phase-4 portal (Admin, B2B, or Franchise) matters most commercially, so it can be sequenced first when that phase starts.</w:t>
      </w:r>
    </w:p>
    <w:p>
      <w:pPr>
        <w:pStyle w:val="Heading1"/>
        <w:spacing w:after="200" w:before="400"/>
      </w:pPr>
      <w:r>
        <w:t xml:space="preserve">Sources</w:t>
      </w:r>
    </w:p>
    <w:p>
      <w:pPr>
        <w:spacing w:after="150"/>
      </w:pPr>
      <w:r>
        <w:rPr>
          <w:sz w:val="18"/>
          <w:szCs w:val="18"/>
        </w:rPr>
        <w:t xml:space="preserve">IGO Agritech Farms — brand facts and positioning, verified live: igoagritechfarms.com</w:t>
      </w:r>
    </w:p>
    <w:p>
      <w:pPr>
        <w:spacing w:after="150"/>
      </w:pPr>
      <w:r>
        <w:rPr>
          <w:sz w:val="18"/>
          <w:szCs w:val="18"/>
        </w:rPr>
        <w:t xml:space="preserve">Licious / FreshToHome / ButcherBox research — Taste of Home ButcherBox Review 2026; Readable FreshToHome vs Licious analysis; industry coverage via afaqs.com and CB Insights.</w:t>
      </w:r>
    </w:p>
    <w:p>
      <w:pPr>
        <w:spacing w:after="150"/>
      </w:pPr>
      <w:r>
        <w:rPr>
          <w:sz w:val="18"/>
          <w:szCs w:val="18"/>
        </w:rPr>
        <w:t xml:space="preserve">Crowd Cow / Wild Alaskan / D’Artagnan research — Beck &amp; Bulow premium meat delivery comparison; LocalMeat.org provider reviews; Crowd Cow official site.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2026-07-27T07:00:43.874Z</dcterms:created>
  <dcterms:modified xsi:type="dcterms:W3CDTF">2026-07-27T07:00:43.875Z</dcterms:modified>
</cp:coreProperties>
</file>

<file path=docProps/custom.xml><?xml version="1.0" encoding="utf-8"?>
<Properties xmlns="http://schemas.openxmlformats.org/officeDocument/2006/custom-properties" xmlns:vt="http://schemas.openxmlformats.org/officeDocument/2006/docPropsVTypes"/>
</file>