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IGO Protein Cuts — Website Rephase Plan</w:t>
      </w:r>
    </w:p>
    <w:p>
      <w:pPr>
        <w:pStyle w:val="Author"/>
        <w:rPr/>
      </w:pPr>
      <w:r>
        <w:rPr/>
        <w:t>Prepared for GOKUL R</w:t>
      </w:r>
    </w:p>
    <w:p>
      <w:pPr>
        <w:pStyle w:val="Date"/>
        <w:rPr/>
      </w:pPr>
      <w:r>
        <w:rPr/>
        <w:t>July 10, 2026</w:t>
      </w:r>
    </w:p>
    <w:p>
      <w:pPr>
        <w:pStyle w:val="Heading1"/>
        <w:rPr/>
      </w:pPr>
      <w:bookmarkStart w:id="0" w:name="website-rephase-plan"/>
      <w:r>
        <w:rPr/>
        <w:t>Website Rephase Plan</w:t>
      </w:r>
      <w:bookmarkEnd w:id="0"/>
    </w:p>
    <w:p>
      <w:pPr>
        <w:pStyle w:val="FirstParagraph"/>
        <w:rPr/>
      </w:pPr>
      <w:r>
        <w:rPr/>
        <w:t>This is a full re-check of the live site’s content and structure, benchmarked against Licious, FreshToHome, Fipola, TenderCuts, and Alaal. It covers two things: what to remove because it undermines professionalism or trust, and how to restructure the rest so the site reads like a serious competitor rather than a template.</w:t>
      </w:r>
    </w:p>
    <w:p>
      <w:pPr>
        <w:pStyle w:val="Heading1"/>
        <w:rPr/>
      </w:pPr>
      <w:bookmarkStart w:id="1" w:name="part-1-what-you-dont-need-remove-or-fix"/>
      <w:r>
        <w:rPr/>
        <w:t>Part 1 — What You Don’t Need (Remove or Fix)</w:t>
      </w:r>
      <w:bookmarkEnd w:id="1"/>
    </w:p>
    <w:p>
      <w:pPr>
        <w:pStyle w:val="FirstParagraph"/>
        <w:rPr/>
      </w:pPr>
      <w:r>
        <w:rPr/>
        <w:t>These aren’t style opinions — each one is either fabricated content, a non-functional feature presented as real, or a dark pattern that competitor sites don’t use.</w:t>
      </w:r>
    </w:p>
    <w:p>
      <w:pPr>
        <w:pStyle w:val="Heading2"/>
        <w:rPr/>
      </w:pPr>
      <w:bookmarkStart w:id="2" w:name="X3d3d47baeb81e78a4348436a6287502d72d4fbe"/>
      <w:r>
        <w:rPr/>
        <w:t>1. The “IGO Group” 26-brand marquee is not credible</w:t>
      </w:r>
      <w:bookmarkEnd w:id="2"/>
    </w:p>
    <w:p>
      <w:pPr>
        <w:pStyle w:val="FirstParagraph"/>
        <w:rPr/>
      </w:pPr>
      <w:r>
        <w:rPr>
          <w:b/>
        </w:rPr>
        <w:t>What it is:</w:t>
      </w:r>
      <w:r>
        <w:rPr/>
        <w:t xml:space="preserve"> The homepage’s brand marquee (</w:t>
      </w:r>
      <w:r>
        <w:rPr>
          <w:rStyle w:val="VerbatimChar"/>
        </w:rPr>
        <w:t>src/components/BrandsMarquee.tsx</w:t>
      </w:r>
      <w:r>
        <w:rPr/>
        <w:t xml:space="preserve">, data in </w:t>
      </w:r>
      <w:r>
        <w:rPr>
          <w:rStyle w:val="VerbatimChar"/>
        </w:rPr>
        <w:t>src/data/brandsData.ts</w:t>
      </w:r>
      <w:r>
        <w:rPr/>
        <w:t xml:space="preserve">) lists 26 “sister companies” — IGO Financial Services, IGO Wealth Management, IGO Real Estate, IGO Natural Cosmetics, IGO Organic Pharmacy, IGO Green Energy, an “IGO Academy,” an “IGO Foundation,” and so on — spanning fintech, real estate, pharmacy, cosmetics, and renewable energy. Their “logos” are generic stock photos from a numbered </w:t>
      </w:r>
      <w:r>
        <w:rPr>
          <w:rStyle w:val="VerbatimChar"/>
        </w:rPr>
        <w:t>Brands/1.jpg</w:t>
      </w:r>
      <w:r>
        <w:rPr/>
        <w:t>–</w:t>
      </w:r>
      <w:r>
        <w:rPr>
          <w:rStyle w:val="VerbatimChar"/>
        </w:rPr>
        <w:t>25.jpg</w:t>
      </w:r>
      <w:r>
        <w:rPr/>
        <w:t xml:space="preserve"> folder, not real company marks. I searched for “IGO Group” in connection with Coimbatore and protein/agriculture — nothing came up. No LinkedIn presence, no business registry listing, no news coverage for any of these 26 names.</w:t>
      </w:r>
    </w:p>
    <w:p>
      <w:pPr>
        <w:pStyle w:val="BodyText"/>
        <w:rPr/>
      </w:pPr>
      <w:r>
        <w:rPr>
          <w:b/>
        </w:rPr>
        <w:t>Why it matters:</w:t>
      </w:r>
      <w:r>
        <w:rPr/>
        <w:t xml:space="preserve"> A customer or investor who checks any one of these claims and finds nothing will stop trusting the rest of the site immediately. This reads as a leftover template from a generic “agri-conglomerate” site builder, not real content about your business. It’s the single biggest credibility risk on the site.</w:t>
      </w:r>
    </w:p>
    <w:p>
      <w:pPr>
        <w:pStyle w:val="BodyText"/>
        <w:rPr/>
      </w:pPr>
      <w:r>
        <w:rPr>
          <w:b/>
        </w:rPr>
        <w:t>How to fix it:</w:t>
      </w:r>
      <w:r>
        <w:rPr/>
        <w:t xml:space="preserve"> 1. If none of these 26 entities are real, remove </w:t>
      </w:r>
      <w:r>
        <w:rPr>
          <w:rStyle w:val="VerbatimChar"/>
        </w:rPr>
        <w:t>BrandsMarquee</w:t>
      </w:r>
      <w:r>
        <w:rPr/>
        <w:t xml:space="preserve"> from the homepage entirely (</w:t>
      </w:r>
      <w:r>
        <w:rPr>
          <w:rStyle w:val="VerbatimChar"/>
        </w:rPr>
        <w:t>src/App.tsx</w:t>
      </w:r>
      <w:r>
        <w:rPr/>
        <w:t xml:space="preserve"> line ~138) and delete the section. 2. If a handful are real (e.g. if IGO genuinely has a farm, a nursery, or an academy), keep only those — with real logos, real descriptions, and ideally a link to each one’s own site — and drop the rest. 3. Don’t reintroduce a “we’re part of a huge group” narrative unless it’s independently verifiable; competitors win trust with delivery specifics and cold-chain proof, not conglomerate size claims.</w:t>
      </w:r>
    </w:p>
    <w:p>
      <w:pPr>
        <w:pStyle w:val="Heading2"/>
        <w:rPr/>
      </w:pPr>
      <w:bookmarkStart w:id="3" w:name="the-flash-sale-countdown-timer-is-fake"/>
      <w:r>
        <w:rPr/>
        <w:t>2. The flash-sale countdown timer is fake</w:t>
      </w:r>
      <w:bookmarkEnd w:id="3"/>
    </w:p>
    <w:p>
      <w:pPr>
        <w:pStyle w:val="FirstParagraph"/>
        <w:rPr/>
      </w:pPr>
      <w:r>
        <w:rPr>
          <w:b/>
        </w:rPr>
        <w:t>What it is:</w:t>
      </w:r>
      <w:r>
        <w:rPr/>
        <w:t xml:space="preserve"> </w:t>
      </w:r>
      <w:r>
        <w:rPr>
          <w:rStyle w:val="VerbatimChar"/>
        </w:rPr>
        <w:t>src/sections/Hero.tsx</w:t>
      </w:r>
      <w:r>
        <w:rPr/>
        <w:t xml:space="preserve"> (</w:t>
      </w:r>
      <w:r>
        <w:rPr>
          <w:rStyle w:val="VerbatimChar"/>
        </w:rPr>
        <w:t>FlashSaleCountdown</w:t>
      </w:r>
      <w:r>
        <w:rPr/>
        <w:t>) always starts at exactly 2h 45m and counts down from there — on every single page load. Refresh the page and it resets. It’s not tied to any real sale end time.</w:t>
      </w:r>
    </w:p>
    <w:p>
      <w:pPr>
        <w:pStyle w:val="BodyText"/>
        <w:rPr/>
      </w:pPr>
      <w:r>
        <w:rPr>
          <w:b/>
        </w:rPr>
        <w:t>Why it matters:</w:t>
      </w:r>
      <w:r>
        <w:rPr/>
        <w:t xml:space="preserve"> This is a classic “fake urgency” dark pattern. Anyone who refreshes the page twice will notice it never actually expires, which is worse for trust than not having a countdown at all. None of the researched competitors use a fake countdown like this.</w:t>
      </w:r>
    </w:p>
    <w:p>
      <w:pPr>
        <w:pStyle w:val="BodyText"/>
        <w:rPr/>
      </w:pPr>
      <w:r>
        <w:rPr>
          <w:b/>
        </w:rPr>
        <w:t>How to fix it:</w:t>
      </w:r>
      <w:r>
        <w:rPr/>
        <w:t xml:space="preserve"> 1. Either remove the countdown entirely, or 2. Replace it with a real deadline: store an actual </w:t>
      </w:r>
      <w:r>
        <w:rPr>
          <w:rStyle w:val="VerbatimChar"/>
        </w:rPr>
        <w:t>saleEndsAt</w:t>
      </w:r>
      <w:r>
        <w:rPr/>
        <w:t xml:space="preserve"> timestamp (in Supabase or a config file) and calculate the countdown from </w:t>
      </w:r>
      <w:r>
        <w:rPr>
          <w:rStyle w:val="VerbatimChar"/>
        </w:rPr>
        <w:t>saleEndsAt - now()</w:t>
      </w:r>
      <w:r>
        <w:rPr/>
        <w:t>, so it’s honest and actually reaches zero.</w:t>
      </w:r>
    </w:p>
    <w:p>
      <w:pPr>
        <w:pStyle w:val="Heading2"/>
        <w:rPr/>
      </w:pPr>
      <w:bookmarkStart w:id="4" w:name="Xe7e3fef6aa6ea57f31e5c7ee7db7dd8fabae645"/>
      <w:r>
        <w:rPr/>
        <w:t>3. Three of the homepage testimonials are placeholder, not real customers</w:t>
      </w:r>
      <w:bookmarkEnd w:id="4"/>
    </w:p>
    <w:p>
      <w:pPr>
        <w:pStyle w:val="FirstParagraph"/>
        <w:rPr/>
      </w:pPr>
      <w:r>
        <w:rPr>
          <w:b/>
        </w:rPr>
        <w:t>What it is:</w:t>
      </w:r>
      <w:r>
        <w:rPr/>
        <w:t xml:space="preserve"> </w:t>
      </w:r>
      <w:r>
        <w:rPr>
          <w:rStyle w:val="VerbatimChar"/>
        </w:rPr>
        <w:t>src/sections/Testimonials.tsx</w:t>
      </w:r>
      <w:r>
        <w:rPr/>
        <w:t xml:space="preserve"> hardcodes three reviews (Priya Iyer, Sanjay Kapoor, Anjali Sharma) alongside a genuine live-review system that reads real submissions from Supabase/localStorage. The three seeded ones are presented identically to real reviews, with no distinction.</w:t>
      </w:r>
    </w:p>
    <w:p>
      <w:pPr>
        <w:pStyle w:val="BodyText"/>
        <w:rPr/>
      </w:pPr>
      <w:r>
        <w:rPr>
          <w:b/>
        </w:rPr>
        <w:t>Why it matters:</w:t>
      </w:r>
      <w:r>
        <w:rPr/>
        <w:t xml:space="preserve"> Once real reviews start coming in, these three will keep sitting there indistinguishable from genuine customer feedback. This is the same category of issue as items 1 and 2 — content presented as real that isn’t.</w:t>
      </w:r>
    </w:p>
    <w:p>
      <w:pPr>
        <w:pStyle w:val="BodyText"/>
        <w:rPr/>
      </w:pPr>
      <w:r>
        <w:rPr>
          <w:b/>
        </w:rPr>
        <w:t>How to fix it:</w:t>
      </w:r>
      <w:r>
        <w:rPr/>
        <w:t xml:space="preserve"> 1. Once you have 5–10 genuine reviews (see the “real reviews” step in the competitive plan already delivered), remove the three seeded testimonials and let the live system carry the section on its own. 2. Until then, if you keep them, label the section honestly (e.g. don’t imply they’re verified purchases) or swap in real early-customer quotes even if there are only two or three.</w:t>
      </w:r>
    </w:p>
    <w:p>
      <w:pPr>
        <w:pStyle w:val="Heading2"/>
        <w:rPr/>
      </w:pPr>
      <w:bookmarkStart w:id="5" w:name="X1b4c0f2e8aaef964740c3e25bbcd6bf83ce8222"/>
      <w:r>
        <w:rPr/>
        <w:t>4. The “AI Nutrition Comparison” table has unsourced numbers</w:t>
      </w:r>
      <w:bookmarkEnd w:id="5"/>
    </w:p>
    <w:p>
      <w:pPr>
        <w:pStyle w:val="FirstParagraph"/>
        <w:rPr/>
      </w:pPr>
      <w:r>
        <w:rPr>
          <w:b/>
        </w:rPr>
        <w:t>What it is:</w:t>
      </w:r>
      <w:r>
        <w:rPr/>
        <w:t xml:space="preserve"> </w:t>
      </w:r>
      <w:r>
        <w:rPr>
          <w:rStyle w:val="VerbatimChar"/>
        </w:rPr>
        <w:t>src/sections/AIProductComparison.tsx</w:t>
      </w:r>
      <w:r>
        <w:rPr/>
        <w:t xml:space="preserve"> shows exact-looking stats — “IGO Chicken Breast: 31g protein, 3.6g fat” vs. “Standard: 25g protein, 6.2g fat, Generic Poultry, Antibiotics Not Verified” — for several products, framed as a lab-style comparison against a nameless “standard” competitor.</w:t>
      </w:r>
    </w:p>
    <w:p>
      <w:pPr>
        <w:pStyle w:val="BodyText"/>
        <w:rPr/>
      </w:pPr>
      <w:r>
        <w:rPr>
          <w:b/>
        </w:rPr>
        <w:t>Why it matters:</w:t>
      </w:r>
      <w:r>
        <w:rPr/>
        <w:t xml:space="preserve"> These numbers aren’t cited to any actual lab test or source, and directly disparaging an unnamed “standard” competitor with precise-looking data that isn’t backed by anything is a real advertising-standards risk in India (the same category of claim the ASCI has fined food brands for in the past), separate from just being a trust issue.</w:t>
      </w:r>
    </w:p>
    <w:p>
      <w:pPr>
        <w:pStyle w:val="BodyText"/>
        <w:rPr/>
      </w:pPr>
      <w:r>
        <w:rPr>
          <w:b/>
        </w:rPr>
        <w:t>How to fix it:</w:t>
      </w:r>
      <w:r>
        <w:rPr/>
        <w:t xml:space="preserve"> 1. If IGO has actually run nutrition tests on its products, cite the lab/source next to the numbers. 2. If not, reframe the section around what’s actually verifiable — sourcing (heritage farm names), certification (FSSAI), and delivery cold-chain — and drop the fabricated head-to-head numeric comparison.</w:t>
      </w:r>
    </w:p>
    <w:p>
      <w:pPr>
        <w:pStyle w:val="Heading2"/>
        <w:rPr/>
      </w:pPr>
      <w:bookmarkStart w:id="6" w:name="the-homepage-promo-codes-dont-work"/>
      <w:r>
        <w:rPr/>
        <w:t>5. The homepage promo codes don’t work</w:t>
      </w:r>
      <w:bookmarkEnd w:id="6"/>
    </w:p>
    <w:p>
      <w:pPr>
        <w:pStyle w:val="FirstParagraph"/>
        <w:rPr/>
      </w:pPr>
      <w:r>
        <w:rPr>
          <w:b/>
        </w:rPr>
        <w:t>What it is:</w:t>
      </w:r>
      <w:r>
        <w:rPr/>
        <w:t xml:space="preserve"> </w:t>
      </w:r>
      <w:r>
        <w:rPr>
          <w:rStyle w:val="VerbatimChar"/>
        </w:rPr>
        <w:t>src/sections/OffersSection.tsx</w:t>
      </w:r>
      <w:r>
        <w:rPr/>
        <w:t xml:space="preserve"> displays three promo codes (</w:t>
      </w:r>
      <w:r>
        <w:rPr>
          <w:rStyle w:val="VerbatimChar"/>
        </w:rPr>
        <w:t>IGOFRESH15</w:t>
      </w:r>
      <w:r>
        <w:rPr/>
        <w:t xml:space="preserve">, </w:t>
      </w:r>
      <w:r>
        <w:rPr>
          <w:rStyle w:val="VerbatimChar"/>
        </w:rPr>
        <w:t>IGOPACK</w:t>
      </w:r>
      <w:r>
        <w:rPr/>
        <w:t xml:space="preserve">, </w:t>
      </w:r>
      <w:r>
        <w:rPr>
          <w:rStyle w:val="VerbatimChar"/>
        </w:rPr>
        <w:t>IGOB2B20</w:t>
      </w:r>
      <w:r>
        <w:rPr/>
        <w:t xml:space="preserve">) with a “copy code” button. None of these strings appear anywhere in </w:t>
      </w:r>
      <w:r>
        <w:rPr>
          <w:rStyle w:val="VerbatimChar"/>
        </w:rPr>
        <w:t>Checkout.tsx</w:t>
      </w:r>
      <w:r>
        <w:rPr/>
        <w:t xml:space="preserve"> or the cart logic — there’s no discount validation wired up at all.</w:t>
      </w:r>
    </w:p>
    <w:p>
      <w:pPr>
        <w:pStyle w:val="BodyText"/>
        <w:rPr/>
      </w:pPr>
      <w:r>
        <w:rPr>
          <w:b/>
        </w:rPr>
        <w:t>Why it matters:</w:t>
      </w:r>
      <w:r>
        <w:rPr/>
        <w:t xml:space="preserve"> A customer who copies </w:t>
      </w:r>
      <w:r>
        <w:rPr>
          <w:rStyle w:val="VerbatimChar"/>
        </w:rPr>
        <w:t>IGOFRESH15</w:t>
      </w:r>
      <w:r>
        <w:rPr/>
        <w:t xml:space="preserve"> and tries to use it at checkout will find it does nothing. That’s a worse experience than not offering a promo at all — it looks broken, not just unfinished.</w:t>
      </w:r>
    </w:p>
    <w:p>
      <w:pPr>
        <w:pStyle w:val="BodyText"/>
        <w:rPr/>
      </w:pPr>
      <w:r>
        <w:rPr>
          <w:b/>
        </w:rPr>
        <w:t>How to fix it:</w:t>
      </w:r>
      <w:r>
        <w:rPr/>
        <w:t xml:space="preserve"> 1. Either implement real coupon validation in the checkout flow (a simple lookup table of code → discount %, checked against the cart total, is enough to start), or 2. Remove the </w:t>
      </w:r>
      <w:r>
        <w:rPr>
          <w:rStyle w:val="VerbatimChar"/>
        </w:rPr>
        <w:t>OffersSection</w:t>
      </w:r>
      <w:r>
        <w:rPr/>
        <w:t xml:space="preserve"> from the homepage until the codes actually work.</w:t>
      </w:r>
    </w:p>
    <w:p>
      <w:pPr>
        <w:pStyle w:val="Heading2"/>
        <w:rPr/>
      </w:pPr>
      <w:bookmarkStart w:id="7" w:name="Xae4203303fe263971d54c9e5ed7ec4027b368ad"/>
      <w:r>
        <w:rPr/>
        <w:t>6. The pincode checker claims coverage IGO doesn’t have yet</w:t>
      </w:r>
      <w:bookmarkEnd w:id="7"/>
    </w:p>
    <w:p>
      <w:pPr>
        <w:pStyle w:val="FirstParagraph"/>
        <w:rPr/>
      </w:pPr>
      <w:r>
        <w:rPr>
          <w:b/>
        </w:rPr>
        <w:t>What it is:</w:t>
      </w:r>
      <w:r>
        <w:rPr/>
        <w:t xml:space="preserve"> </w:t>
      </w:r>
      <w:r>
        <w:rPr>
          <w:rStyle w:val="VerbatimChar"/>
        </w:rPr>
        <w:t>src/sections/Hero.tsx</w:t>
      </w:r>
      <w:r>
        <w:rPr/>
        <w:t xml:space="preserve">’s </w:t>
      </w:r>
      <w:r>
        <w:rPr>
          <w:rStyle w:val="VerbatimChar"/>
        </w:rPr>
        <w:t>SERVICEABLE_PINCODES</w:t>
      </w:r>
      <w:r>
        <w:rPr/>
        <w:t xml:space="preserve"> list includes a few Chennai (</w:t>
      </w:r>
      <w:r>
        <w:rPr>
          <w:rStyle w:val="VerbatimChar"/>
        </w:rPr>
        <w:t>600001</w:t>
      </w:r>
      <w:r>
        <w:rPr/>
        <w:t>–</w:t>
      </w:r>
      <w:r>
        <w:rPr>
          <w:rStyle w:val="VerbatimChar"/>
        </w:rPr>
        <w:t>600003</w:t>
      </w:r>
      <w:r>
        <w:rPr/>
        <w:t>) and Bangalore (</w:t>
      </w:r>
      <w:r>
        <w:rPr>
          <w:rStyle w:val="VerbatimChar"/>
        </w:rPr>
        <w:t>560001</w:t>
      </w:r>
      <w:r>
        <w:rPr/>
        <w:t xml:space="preserve">, </w:t>
      </w:r>
      <w:r>
        <w:rPr>
          <w:rStyle w:val="VerbatimChar"/>
        </w:rPr>
        <w:t>560002</w:t>
      </w:r>
      <w:r>
        <w:rPr/>
        <w:t>) pincodes as “available,” even though every other part of the site (meta description, FAQ schema, footer) says IGO currently serves Coimbatore only, with pan-India “expansion underway.”</w:t>
      </w:r>
    </w:p>
    <w:p>
      <w:pPr>
        <w:pStyle w:val="BodyText"/>
        <w:rPr/>
      </w:pPr>
      <w:r>
        <w:rPr>
          <w:b/>
        </w:rPr>
        <w:t>Why it matters:</w:t>
      </w:r>
      <w:r>
        <w:rPr/>
        <w:t xml:space="preserve"> A Chennai or Bangalore visitor who checks their pincode and sees “available” will be misled — and disappointed at checkout if delivery isn’t actually possible there yet.</w:t>
      </w:r>
    </w:p>
    <w:p>
      <w:pPr>
        <w:pStyle w:val="BodyText"/>
        <w:rPr/>
      </w:pPr>
      <w:r>
        <w:rPr>
          <w:b/>
        </w:rPr>
        <w:t>How to fix it:</w:t>
      </w:r>
      <w:r>
        <w:rPr/>
        <w:t xml:space="preserve"> 1. Trim </w:t>
      </w:r>
      <w:r>
        <w:rPr>
          <w:rStyle w:val="VerbatimChar"/>
        </w:rPr>
        <w:t>SERVICEABLE_PINCODES</w:t>
      </w:r>
      <w:r>
        <w:rPr/>
        <w:t xml:space="preserve"> down to Coimbatore pincodes only until Chennai/Bangalore delivery is actually live, or 2. If those two cities genuinely are serviceable now, update the rest of the site’s copy (meta description, FAQ answers) to match, since right now they contradict each other.</w:t>
      </w:r>
    </w:p>
    <w:p>
      <w:pPr>
        <w:pStyle w:val="Heading1"/>
        <w:rPr/>
      </w:pPr>
      <w:bookmarkStart w:id="8" w:name="Xa423d55dc170bc8968a252a48327986fb87889c"/>
      <w:r>
        <w:rPr/>
        <w:t>Part 2 — Restructuring for a More Professional Feel</w:t>
      </w:r>
      <w:bookmarkEnd w:id="8"/>
    </w:p>
    <w:p>
      <w:pPr>
        <w:pStyle w:val="FirstParagraph"/>
        <w:rPr/>
      </w:pPr>
      <w:r>
        <w:rPr/>
        <w:t>Beyond removing the items above, the biggest structural difference between IGO’s homepage and every competitor researched (Licious, FreshToHome, Fipola, TenderCuts) is length and focus.</w:t>
      </w:r>
    </w:p>
    <w:p>
      <w:pPr>
        <w:pStyle w:val="Heading2"/>
        <w:rPr/>
      </w:pPr>
      <w:bookmarkStart w:id="9" w:name="X17dcc87f712d4e125ff1b10264d575beb00aea5"/>
      <w:r>
        <w:rPr/>
        <w:t>The homepage currently stacks 20 sections in a row</w:t>
      </w:r>
      <w:bookmarkEnd w:id="9"/>
    </w:p>
    <w:p>
      <w:pPr>
        <w:pStyle w:val="FirstParagraph"/>
        <w:rPr/>
      </w:pPr>
      <w:r>
        <w:rPr/>
        <w:t>In order: Hero, Category Grid, Custom Box Builder, Freshness Strip, Why IGO, Traceability, Product Grid, Featured Recipes, Offers, How It Works, IGO Prime, Dual CTA, Quality Certifications, AI Product Comparison, Testimonials, Personalized Recommendations, Blog teaser, Brand Narrative (a full scroll-jacking cinematic sequence), Newsletter, Brands Marquee, then Footer.</w:t>
      </w:r>
    </w:p>
    <w:p>
      <w:pPr>
        <w:pStyle w:val="BodyText"/>
        <w:rPr/>
      </w:pPr>
      <w:r>
        <w:rPr/>
        <w:t>FreshToHome’s homepage, by contrast, gets a visitor from the header straight into a real, priced product grid within one scroll — deals and categories up front, storytelling minimal. Licious and Fipola follow the same pattern: browse-first, story second.</w:t>
      </w:r>
    </w:p>
    <w:p>
      <w:pPr>
        <w:pStyle w:val="BodyText"/>
        <w:rPr/>
      </w:pPr>
      <w:r>
        <w:rPr>
          <w:b/>
        </w:rPr>
        <w:t>Why it matters:</w:t>
      </w:r>
      <w:r>
        <w:rPr/>
        <w:t xml:space="preserve"> A 20-section homepage asks a lot of patience from someone who came to buy chicken for dinner. Every extra section between “arrive” and “add to cart” is a chance to lose them. It also dilutes the sections that matter — traceability and heritage sourcing, IGO’s real differentiators, get lost in the stack instead of standing out.</w:t>
      </w:r>
    </w:p>
    <w:p>
      <w:pPr>
        <w:pStyle w:val="BodyText"/>
        <w:rPr/>
      </w:pPr>
      <w:r>
        <w:rPr>
          <w:b/>
        </w:rPr>
        <w:t>How to fix it — consolidate to roughly 8–10 sections:</w:t>
      </w:r>
    </w:p>
    <w:p>
      <w:pPr>
        <w:pStyle w:val="Compact"/>
        <w:numPr>
          <w:ilvl w:val="0"/>
          <w:numId w:val="5"/>
        </w:numPr>
        <w:rPr/>
      </w:pPr>
      <w:r>
        <w:rPr>
          <w:b/>
        </w:rPr>
        <w:t>Hero</w:t>
      </w:r>
      <w:r>
        <w:rPr/>
        <w:t xml:space="preserve"> — keep, but simplify: drop the fake countdown (Part 1, item 2), keep the pincode checker (once corrected) and the delivery promise.</w:t>
      </w:r>
    </w:p>
    <w:p>
      <w:pPr>
        <w:pStyle w:val="Compact"/>
        <w:numPr>
          <w:ilvl w:val="0"/>
          <w:numId w:val="1"/>
        </w:numPr>
        <w:rPr/>
      </w:pPr>
      <w:r>
        <w:rPr>
          <w:b/>
        </w:rPr>
        <w:t>Category Grid + Product Grid</w:t>
      </w:r>
      <w:r>
        <w:rPr/>
        <w:t xml:space="preserve"> — move these up immediately after the Hero, ahead of everything else. This is the single biggest change: get to “browsable products” fast, the way every competitor does.</w:t>
      </w:r>
    </w:p>
    <w:p>
      <w:pPr>
        <w:pStyle w:val="Compact"/>
        <w:numPr>
          <w:ilvl w:val="0"/>
          <w:numId w:val="1"/>
        </w:numPr>
        <w:rPr/>
      </w:pPr>
      <w:r>
        <w:rPr>
          <w:b/>
        </w:rPr>
        <w:t>Merge “Why IGO” + “Freshness Strip” + “Quality Certifications”</w:t>
      </w:r>
      <w:r>
        <w:rPr/>
        <w:t xml:space="preserve"> into one compact trust-signal band (certifications badges, cold-chain promise, never-frozen claim) directly under the product grid — this is also where the certification badges from the competitive plan (Gap 3) should live.</w:t>
      </w:r>
    </w:p>
    <w:p>
      <w:pPr>
        <w:pStyle w:val="Compact"/>
        <w:numPr>
          <w:ilvl w:val="0"/>
          <w:numId w:val="1"/>
        </w:numPr>
        <w:rPr/>
      </w:pPr>
      <w:r>
        <w:rPr>
          <w:b/>
        </w:rPr>
        <w:t>Traceability</w:t>
      </w:r>
      <w:r>
        <w:rPr/>
        <w:t xml:space="preserve"> — keep as its own section; this is a genuine differentiator competitors don’t have. Consider moving it up, not down, since it’s a stronger trust signal than most of what currently precedes it.</w:t>
      </w:r>
    </w:p>
    <w:p>
      <w:pPr>
        <w:pStyle w:val="Compact"/>
        <w:numPr>
          <w:ilvl w:val="0"/>
          <w:numId w:val="1"/>
        </w:numPr>
        <w:rPr/>
      </w:pPr>
      <w:r>
        <w:rPr>
          <w:b/>
        </w:rPr>
        <w:t>Custom Box Builder</w:t>
      </w:r>
      <w:r>
        <w:rPr/>
        <w:t xml:space="preserve"> — move to its own dedicated page/route rather than the homepage; it’s a deeper engagement tool, not a first-five-seconds hook. Link to it from the nav instead.</w:t>
      </w:r>
    </w:p>
    <w:p>
      <w:pPr>
        <w:pStyle w:val="Compact"/>
        <w:numPr>
          <w:ilvl w:val="0"/>
          <w:numId w:val="1"/>
        </w:numPr>
        <w:rPr/>
      </w:pPr>
      <w:r>
        <w:rPr>
          <w:b/>
        </w:rPr>
        <w:t>IGO Prime</w:t>
      </w:r>
      <w:r>
        <w:rPr/>
        <w:t xml:space="preserve"> — keep on the homepage, but only after Gap 2 from the competitive plan (making it actually functional) is done — a non-functional membership CTA mid-page currently just adds another dead click.</w:t>
      </w:r>
    </w:p>
    <w:p>
      <w:pPr>
        <w:pStyle w:val="Compact"/>
        <w:numPr>
          <w:ilvl w:val="0"/>
          <w:numId w:val="1"/>
        </w:numPr>
        <w:rPr/>
      </w:pPr>
      <w:r>
        <w:rPr>
          <w:b/>
        </w:rPr>
        <w:t>Testimonials</w:t>
      </w:r>
      <w:r>
        <w:rPr/>
        <w:t xml:space="preserve"> — keep, once real reviews replace the seeded ones (Part 1, item 3).</w:t>
      </w:r>
    </w:p>
    <w:p>
      <w:pPr>
        <w:pStyle w:val="Compact"/>
        <w:numPr>
          <w:ilvl w:val="0"/>
          <w:numId w:val="1"/>
        </w:numPr>
        <w:rPr/>
      </w:pPr>
      <w:r>
        <w:rPr>
          <w:b/>
        </w:rPr>
        <w:t>Blog teaser + Newsletter</w:t>
      </w:r>
      <w:r>
        <w:rPr/>
        <w:t xml:space="preserve"> — merge into a single compact footer-adjacent band rather than two separate full sections.</w:t>
      </w:r>
    </w:p>
    <w:p>
      <w:pPr>
        <w:pStyle w:val="Compact"/>
        <w:numPr>
          <w:ilvl w:val="0"/>
          <w:numId w:val="1"/>
        </w:numPr>
        <w:rPr/>
      </w:pPr>
      <w:r>
        <w:rPr>
          <w:b/>
        </w:rPr>
        <w:t>Drop from the homepage entirely:</w:t>
      </w:r>
      <w:r>
        <w:rPr/>
        <w:t xml:space="preserve"> Offers Section (until real, Part 1 item 5), AI Product Comparison (until sourced, Part 1 item 4), Personalized Recommendations (fine as a feature, but belongs on the product/category pages where it’s contextual, not a generic homepage section), Brand Narrative’s full cinematic scroll sequence (beautiful, but heavy — consider a shorter version or moving it to an About page), Dual CTA (the consumer/B2B split works better as two clear nav entries than a full homepage section), Brands Marquee (Part 1, item 1).</w:t>
      </w:r>
    </w:p>
    <w:p>
      <w:pPr>
        <w:pStyle w:val="Heading2"/>
        <w:rPr/>
      </w:pPr>
      <w:bookmarkStart w:id="10" w:name="X54aac6e812940f34a90110a1c27a2dbe3c4fb61"/>
      <w:r>
        <w:rPr/>
        <w:t>Borrow these specific patterns from competitors</w:t>
      </w:r>
      <w:bookmarkEnd w:id="10"/>
    </w:p>
    <w:p>
      <w:pPr>
        <w:pStyle w:val="Compact"/>
        <w:numPr>
          <w:ilvl w:val="0"/>
          <w:numId w:val="6"/>
        </w:numPr>
        <w:rPr/>
      </w:pPr>
      <w:r>
        <w:rPr>
          <w:b/>
        </w:rPr>
        <w:t>Multi-language product names.</w:t>
      </w:r>
      <w:r>
        <w:rPr/>
        <w:t xml:space="preserve"> FreshToHome lists fish by English, Hindi/regional, and local names together (e.g. “Rohu / Rui / </w:t>
      </w:r>
      <w:r>
        <w:rPr/>
        <w:t>ರೋಹು”</w:t>
      </w:r>
      <w:r>
        <w:rPr/>
        <w:t>). IGO already plans Tamil localization (competitive plan, Gap 5) — apply it the same way, inline in product names, not as a separate toggle.</w:t>
      </w:r>
    </w:p>
    <w:p>
      <w:pPr>
        <w:pStyle w:val="Compact"/>
        <w:numPr>
          <w:ilvl w:val="0"/>
          <w:numId w:val="1"/>
        </w:numPr>
        <w:rPr/>
      </w:pPr>
      <w:r>
        <w:rPr>
          <w:b/>
        </w:rPr>
        <w:t>Delivery-slot transparency.</w:t>
      </w:r>
      <w:r>
        <w:rPr/>
        <w:t xml:space="preserve"> FreshToHome shows “Earliest available delivery slot: Friday, 10th July” right at the top. IGO’s </w:t>
      </w:r>
      <w:r>
        <w:rPr>
          <w:rStyle w:val="VerbatimChar"/>
        </w:rPr>
        <w:t>DeliverySlotPicker.tsx</w:t>
      </w:r>
      <w:r>
        <w:rPr/>
        <w:t xml:space="preserve"> already exists — surface a live next-available-slot indicator near the top of the page, not just inside checkout.</w:t>
      </w:r>
    </w:p>
    <w:p>
      <w:pPr>
        <w:pStyle w:val="Compact"/>
        <w:numPr>
          <w:ilvl w:val="0"/>
          <w:numId w:val="1"/>
        </w:numPr>
        <w:rPr/>
      </w:pPr>
      <w:r>
        <w:rPr>
          <w:b/>
        </w:rPr>
        <w:t>Membership banner treatment.</w:t>
      </w:r>
      <w:r>
        <w:rPr/>
        <w:t xml:space="preserve"> FreshToHome puts its Purple Member CTA as a thin, persistent top banner, not a buried mid-page section — worth considering once IGO Prime is actually live (competitive plan, Gap 2).</w:t>
      </w:r>
    </w:p>
    <w:p>
      <w:pPr>
        <w:pStyle w:val="Heading1"/>
        <w:rPr/>
      </w:pPr>
      <w:bookmarkStart w:id="11" w:name="part-3-suggested-order"/>
      <w:r>
        <w:rPr/>
        <w:t>Part 3 — Suggested Order</w:t>
      </w:r>
      <w:bookmarkEnd w:id="11"/>
    </w:p>
    <w:p>
      <w:pPr>
        <w:pStyle w:val="Compact"/>
        <w:numPr>
          <w:ilvl w:val="0"/>
          <w:numId w:val="7"/>
        </w:numPr>
        <w:rPr/>
      </w:pPr>
      <w:r>
        <w:rPr/>
        <w:t>Remove/fix the six trust issues in Part 1 — all are fast, all are risk reduction, none require design work.</w:t>
      </w:r>
    </w:p>
    <w:p>
      <w:pPr>
        <w:pStyle w:val="Compact"/>
        <w:numPr>
          <w:ilvl w:val="0"/>
          <w:numId w:val="1"/>
        </w:numPr>
        <w:rPr/>
      </w:pPr>
      <w:r>
        <w:rPr/>
        <w:t>Reorder the homepage: move Category Grid + Product Grid up, consolidate trust sections, drop the sections listed for removal.</w:t>
      </w:r>
    </w:p>
    <w:p>
      <w:pPr>
        <w:pStyle w:val="Compact"/>
        <w:numPr>
          <w:ilvl w:val="0"/>
          <w:numId w:val="1"/>
        </w:numPr>
        <w:rPr/>
      </w:pPr>
      <w:r>
        <w:rPr/>
        <w:t>Move Custom Box Builder and the full Brand Narrative sequence to their own pages.</w:t>
      </w:r>
    </w:p>
    <w:p>
      <w:pPr>
        <w:pStyle w:val="Compact"/>
        <w:numPr>
          <w:ilvl w:val="0"/>
          <w:numId w:val="1"/>
        </w:numPr>
        <w:rPr/>
      </w:pPr>
      <w:r>
        <w:rPr/>
        <w:t>Layer in the competitor-inspired additions (multi-language names, delivery-slot indicator) once the structural cleanup is done.</w:t>
      </w:r>
    </w:p>
    <w:p>
      <w:pPr>
        <w:pStyle w:val="Compact"/>
        <w:numPr>
          <w:ilvl w:val="0"/>
          <w:numId w:val="1"/>
        </w:numPr>
        <w:rPr/>
      </w:pPr>
      <w:r>
        <w:rPr/>
        <w:t>Re-introduce Offers, AI Comparison, and Testimonials only once each is genuinely backed by real data (Part 1).</w:t>
      </w:r>
    </w:p>
    <w:p>
      <w:pPr>
        <w:pStyle w:val="FirstParagraph"/>
        <w:spacing w:before="180" w:after="180"/>
        <w:rPr/>
      </w:pPr>
      <w:r>
        <w:rPr/>
        <w:t>This is a plan only — say which item (or group of items) to start on and I’ll implement just that, without touching anything else.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2026-07-10T09:54:26Z</dcterms:created>
  <dc:creator>Prepared for GOKUL R</dc:creator>
  <dc:description/>
  <dc:language>en-US</dc:language>
  <cp:lastModifiedBy/>
  <dcterms:modified xsi:type="dcterms:W3CDTF">2026-07-10T09:54:26Z</dcterms:modified>
  <cp:revision>0</cp:revision>
  <dc:subject/>
  <dc:title>IGO Protein Cuts — Website Rephase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10, 2026</vt:lpwstr>
  </property>
</Properties>
</file>