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补充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画多边形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更改了绘图策略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右键可以删除画出的点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可以动态添加顶点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长方体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画出了三视图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